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B4" w:rsidRPr="003276DB" w:rsidRDefault="003276DB" w:rsidP="003276DB">
      <w:pPr>
        <w:widowControl w:val="0"/>
        <w:autoSpaceDE w:val="0"/>
        <w:autoSpaceDN w:val="0"/>
        <w:adjustRightInd w:val="0"/>
        <w:spacing w:after="0" w:line="240" w:lineRule="auto"/>
        <w:jc w:val="center"/>
        <w:rPr>
          <w:rFonts w:ascii="Garamond" w:hAnsi="Garamond"/>
        </w:rPr>
      </w:pPr>
      <w:r w:rsidRPr="003276DB">
        <w:rPr>
          <w:rFonts w:ascii="Garamond" w:hAnsi="Garamond" w:cs="Times"/>
          <w:b/>
          <w:bCs/>
          <w:iCs/>
        </w:rPr>
        <w:t>DISTURBI INTESTINALI NELLA MALATTIA DI PARKINSON</w:t>
      </w:r>
    </w:p>
    <w:p w:rsidR="005D54B4" w:rsidRPr="003276DB" w:rsidRDefault="005D54B4">
      <w:pPr>
        <w:widowControl w:val="0"/>
        <w:autoSpaceDE w:val="0"/>
        <w:autoSpaceDN w:val="0"/>
        <w:adjustRightInd w:val="0"/>
        <w:spacing w:after="0" w:line="360" w:lineRule="exact"/>
        <w:rPr>
          <w:rFonts w:ascii="Garamond" w:hAnsi="Garamond"/>
        </w:rPr>
      </w:pPr>
    </w:p>
    <w:p w:rsidR="005D54B4" w:rsidRPr="003276DB" w:rsidRDefault="005D54B4" w:rsidP="003276DB">
      <w:pPr>
        <w:widowControl w:val="0"/>
        <w:autoSpaceDE w:val="0"/>
        <w:autoSpaceDN w:val="0"/>
        <w:adjustRightInd w:val="0"/>
        <w:spacing w:after="0" w:line="240" w:lineRule="auto"/>
        <w:jc w:val="center"/>
        <w:rPr>
          <w:rFonts w:ascii="Garamond" w:hAnsi="Garamond"/>
        </w:rPr>
      </w:pPr>
      <w:r w:rsidRPr="003276DB">
        <w:rPr>
          <w:rFonts w:ascii="Garamond" w:hAnsi="Garamond" w:cs="Times"/>
          <w:b/>
          <w:bCs/>
        </w:rPr>
        <w:t>Alterazioni neuroenteriche e vascolari nei pazienti con malattia di Parkinson</w:t>
      </w:r>
    </w:p>
    <w:p w:rsidR="005D54B4" w:rsidRPr="003276DB" w:rsidRDefault="005D54B4">
      <w:pPr>
        <w:widowControl w:val="0"/>
        <w:autoSpaceDE w:val="0"/>
        <w:autoSpaceDN w:val="0"/>
        <w:adjustRightInd w:val="0"/>
        <w:spacing w:after="0" w:line="353" w:lineRule="exact"/>
        <w:rPr>
          <w:rFonts w:ascii="Garamond" w:hAnsi="Garamond"/>
        </w:rPr>
      </w:pPr>
    </w:p>
    <w:p w:rsidR="005D54B4" w:rsidRPr="003276DB" w:rsidRDefault="005D54B4">
      <w:pPr>
        <w:widowControl w:val="0"/>
        <w:autoSpaceDE w:val="0"/>
        <w:autoSpaceDN w:val="0"/>
        <w:adjustRightInd w:val="0"/>
        <w:spacing w:after="0" w:line="240" w:lineRule="auto"/>
        <w:ind w:left="3900"/>
        <w:rPr>
          <w:rFonts w:ascii="Garamond" w:hAnsi="Garamond"/>
        </w:rPr>
      </w:pPr>
      <w:r w:rsidRPr="003276DB">
        <w:rPr>
          <w:rFonts w:ascii="Garamond" w:hAnsi="Garamond" w:cs="Times"/>
        </w:rPr>
        <w:t>Roberto De Giorgio,</w:t>
      </w:r>
    </w:p>
    <w:p w:rsidR="005D54B4" w:rsidRPr="003276DB" w:rsidRDefault="005D54B4">
      <w:pPr>
        <w:widowControl w:val="0"/>
        <w:autoSpaceDE w:val="0"/>
        <w:autoSpaceDN w:val="0"/>
        <w:adjustRightInd w:val="0"/>
        <w:spacing w:after="0" w:line="40" w:lineRule="exact"/>
        <w:rPr>
          <w:rFonts w:ascii="Garamond" w:hAnsi="Garamond"/>
        </w:rPr>
      </w:pPr>
    </w:p>
    <w:p w:rsidR="005D54B4" w:rsidRPr="003276DB" w:rsidRDefault="005D54B4">
      <w:pPr>
        <w:widowControl w:val="0"/>
        <w:autoSpaceDE w:val="0"/>
        <w:autoSpaceDN w:val="0"/>
        <w:adjustRightInd w:val="0"/>
        <w:spacing w:after="0" w:line="240" w:lineRule="auto"/>
        <w:ind w:left="1480"/>
        <w:rPr>
          <w:rFonts w:ascii="Garamond" w:hAnsi="Garamond"/>
        </w:rPr>
      </w:pPr>
      <w:r w:rsidRPr="003276DB">
        <w:rPr>
          <w:rFonts w:ascii="Garamond" w:hAnsi="Garamond" w:cs="Times"/>
        </w:rPr>
        <w:t xml:space="preserve">Fiorella Giancola, Francesco </w:t>
      </w:r>
      <w:proofErr w:type="spellStart"/>
      <w:r w:rsidRPr="003276DB">
        <w:rPr>
          <w:rFonts w:ascii="Garamond" w:hAnsi="Garamond" w:cs="Times"/>
        </w:rPr>
        <w:t>Torresan</w:t>
      </w:r>
      <w:proofErr w:type="spellEnd"/>
      <w:r w:rsidRPr="003276DB">
        <w:rPr>
          <w:rFonts w:ascii="Garamond" w:hAnsi="Garamond" w:cs="Times"/>
        </w:rPr>
        <w:t>, Maria Guarino, Roberto Corinaldesi</w:t>
      </w:r>
    </w:p>
    <w:p w:rsidR="005D54B4" w:rsidRPr="003276DB" w:rsidRDefault="005D54B4">
      <w:pPr>
        <w:widowControl w:val="0"/>
        <w:autoSpaceDE w:val="0"/>
        <w:autoSpaceDN w:val="0"/>
        <w:adjustRightInd w:val="0"/>
        <w:spacing w:after="0" w:line="322" w:lineRule="exact"/>
        <w:rPr>
          <w:rFonts w:ascii="Garamond" w:hAnsi="Garamond"/>
        </w:rPr>
      </w:pPr>
    </w:p>
    <w:p w:rsidR="003276DB" w:rsidRDefault="005D54B4" w:rsidP="003276DB">
      <w:pPr>
        <w:widowControl w:val="0"/>
        <w:overflowPunct w:val="0"/>
        <w:autoSpaceDE w:val="0"/>
        <w:autoSpaceDN w:val="0"/>
        <w:adjustRightInd w:val="0"/>
        <w:spacing w:after="0" w:line="251" w:lineRule="auto"/>
        <w:ind w:right="860"/>
        <w:rPr>
          <w:rFonts w:ascii="Garamond" w:hAnsi="Garamond" w:cs="Times"/>
        </w:rPr>
      </w:pPr>
      <w:r w:rsidRPr="003276DB">
        <w:rPr>
          <w:rFonts w:ascii="Garamond" w:hAnsi="Garamond" w:cs="Times"/>
        </w:rPr>
        <w:t>Dipartimento di Scienze Mediche e Chiru</w:t>
      </w:r>
      <w:r w:rsidR="003276DB">
        <w:rPr>
          <w:rFonts w:ascii="Garamond" w:hAnsi="Garamond" w:cs="Times"/>
        </w:rPr>
        <w:t xml:space="preserve">rgiche, Università di Bologna </w:t>
      </w:r>
    </w:p>
    <w:p w:rsidR="005D54B4" w:rsidRPr="003276DB" w:rsidRDefault="005D54B4" w:rsidP="003276DB">
      <w:pPr>
        <w:widowControl w:val="0"/>
        <w:overflowPunct w:val="0"/>
        <w:autoSpaceDE w:val="0"/>
        <w:autoSpaceDN w:val="0"/>
        <w:adjustRightInd w:val="0"/>
        <w:spacing w:after="0" w:line="251" w:lineRule="auto"/>
        <w:ind w:right="860"/>
        <w:rPr>
          <w:rFonts w:ascii="Garamond" w:hAnsi="Garamond"/>
        </w:rPr>
      </w:pPr>
      <w:r w:rsidRPr="003276DB">
        <w:rPr>
          <w:rFonts w:ascii="Garamond" w:hAnsi="Garamond" w:cs="Times"/>
        </w:rPr>
        <w:t>Dipartimento ad Attività</w:t>
      </w:r>
      <w:r w:rsidR="003276DB">
        <w:rPr>
          <w:rFonts w:ascii="Garamond" w:hAnsi="Garamond" w:cs="Times"/>
        </w:rPr>
        <w:t xml:space="preserve"> Integrata di Malattie dell’</w:t>
      </w:r>
      <w:r w:rsidRPr="003276DB">
        <w:rPr>
          <w:rFonts w:ascii="Garamond" w:hAnsi="Garamond" w:cs="Times"/>
        </w:rPr>
        <w:t>Apparato Digerente e Medicina Intern</w:t>
      </w:r>
      <w:r w:rsidR="003276DB">
        <w:rPr>
          <w:rFonts w:ascii="Garamond" w:hAnsi="Garamond" w:cs="Times"/>
        </w:rPr>
        <w:t>a</w:t>
      </w:r>
    </w:p>
    <w:p w:rsidR="005D54B4" w:rsidRDefault="005D54B4" w:rsidP="003276DB">
      <w:pPr>
        <w:widowControl w:val="0"/>
        <w:autoSpaceDE w:val="0"/>
        <w:autoSpaceDN w:val="0"/>
        <w:adjustRightInd w:val="0"/>
        <w:spacing w:after="0" w:line="233" w:lineRule="auto"/>
        <w:rPr>
          <w:rFonts w:ascii="Garamond" w:hAnsi="Garamond" w:cs="Times"/>
        </w:rPr>
      </w:pPr>
      <w:r w:rsidRPr="003276DB">
        <w:rPr>
          <w:rFonts w:ascii="Garamond" w:hAnsi="Garamond" w:cs="Times"/>
        </w:rPr>
        <w:t xml:space="preserve">Azienda Ospedaliero Universitaria </w:t>
      </w:r>
      <w:proofErr w:type="spellStart"/>
      <w:r w:rsidRPr="003276DB">
        <w:rPr>
          <w:rFonts w:ascii="Garamond" w:hAnsi="Garamond" w:cs="Times"/>
        </w:rPr>
        <w:t>S.Orsola-Malpighi</w:t>
      </w:r>
      <w:proofErr w:type="spellEnd"/>
      <w:r w:rsidRPr="003276DB">
        <w:rPr>
          <w:rFonts w:ascii="Garamond" w:hAnsi="Garamond" w:cs="Times"/>
        </w:rPr>
        <w:t xml:space="preserve"> di Bologna</w:t>
      </w:r>
    </w:p>
    <w:p w:rsidR="003276DB" w:rsidRDefault="003276DB" w:rsidP="003276DB">
      <w:pPr>
        <w:widowControl w:val="0"/>
        <w:autoSpaceDE w:val="0"/>
        <w:autoSpaceDN w:val="0"/>
        <w:adjustRightInd w:val="0"/>
        <w:spacing w:after="0" w:line="233" w:lineRule="auto"/>
        <w:rPr>
          <w:rFonts w:ascii="Garamond" w:hAnsi="Garamond" w:cs="Times"/>
        </w:rPr>
      </w:pPr>
    </w:p>
    <w:p w:rsidR="003276DB" w:rsidRPr="003276DB" w:rsidRDefault="003276DB" w:rsidP="003276DB">
      <w:pPr>
        <w:widowControl w:val="0"/>
        <w:autoSpaceDE w:val="0"/>
        <w:autoSpaceDN w:val="0"/>
        <w:adjustRightInd w:val="0"/>
        <w:spacing w:after="0" w:line="233" w:lineRule="auto"/>
        <w:rPr>
          <w:rFonts w:ascii="Garamond" w:hAnsi="Garamond"/>
        </w:rPr>
      </w:pPr>
    </w:p>
    <w:p w:rsidR="005D54B4" w:rsidRDefault="005D54B4">
      <w:pPr>
        <w:widowControl w:val="0"/>
        <w:autoSpaceDE w:val="0"/>
        <w:autoSpaceDN w:val="0"/>
        <w:adjustRightInd w:val="0"/>
        <w:spacing w:after="0" w:line="2" w:lineRule="exact"/>
        <w:rPr>
          <w:rFonts w:ascii="Garamond" w:hAnsi="Garamond" w:cs="Times"/>
        </w:rPr>
      </w:pPr>
    </w:p>
    <w:p w:rsidR="003276DB" w:rsidRPr="003276DB" w:rsidRDefault="003276DB">
      <w:pPr>
        <w:widowControl w:val="0"/>
        <w:autoSpaceDE w:val="0"/>
        <w:autoSpaceDN w:val="0"/>
        <w:adjustRightInd w:val="0"/>
        <w:spacing w:after="0" w:line="2"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b/>
          <w:bCs/>
        </w:rPr>
        <w:t>Introduzione</w:t>
      </w:r>
    </w:p>
    <w:p w:rsidR="005D54B4" w:rsidRPr="003276DB" w:rsidRDefault="005D54B4">
      <w:pPr>
        <w:widowControl w:val="0"/>
        <w:autoSpaceDE w:val="0"/>
        <w:autoSpaceDN w:val="0"/>
        <w:adjustRightInd w:val="0"/>
        <w:spacing w:after="0" w:line="5" w:lineRule="exact"/>
        <w:rPr>
          <w:rFonts w:ascii="Garamond" w:hAnsi="Garamond"/>
        </w:rPr>
      </w:pPr>
    </w:p>
    <w:p w:rsidR="003276DB" w:rsidRDefault="003276DB">
      <w:pPr>
        <w:widowControl w:val="0"/>
        <w:overflowPunct w:val="0"/>
        <w:autoSpaceDE w:val="0"/>
        <w:autoSpaceDN w:val="0"/>
        <w:adjustRightInd w:val="0"/>
        <w:spacing w:after="0" w:line="239" w:lineRule="auto"/>
        <w:ind w:right="40"/>
        <w:jc w:val="both"/>
        <w:rPr>
          <w:rFonts w:ascii="Garamond" w:hAnsi="Garamond" w:cs="Times"/>
        </w:rPr>
      </w:pPr>
    </w:p>
    <w:p w:rsidR="005D54B4" w:rsidRPr="003276DB" w:rsidRDefault="005D54B4">
      <w:pPr>
        <w:widowControl w:val="0"/>
        <w:overflowPunct w:val="0"/>
        <w:autoSpaceDE w:val="0"/>
        <w:autoSpaceDN w:val="0"/>
        <w:adjustRightInd w:val="0"/>
        <w:spacing w:after="0" w:line="239" w:lineRule="auto"/>
        <w:ind w:right="40"/>
        <w:jc w:val="both"/>
        <w:rPr>
          <w:rFonts w:ascii="Garamond" w:hAnsi="Garamond"/>
        </w:rPr>
      </w:pPr>
      <w:r w:rsidRPr="003276DB">
        <w:rPr>
          <w:rFonts w:ascii="Garamond" w:hAnsi="Garamond" w:cs="Times"/>
        </w:rPr>
        <w:t xml:space="preserve">La malattia di Parkinson (MP) è la seconda malattia neurodegenerativa più comune dopo l’Alzheimer. Si tratta di una patologia cronica </w:t>
      </w:r>
      <w:proofErr w:type="spellStart"/>
      <w:r w:rsidRPr="003276DB">
        <w:rPr>
          <w:rFonts w:ascii="Garamond" w:hAnsi="Garamond" w:cs="Times"/>
        </w:rPr>
        <w:t>multisistemica</w:t>
      </w:r>
      <w:proofErr w:type="spellEnd"/>
      <w:r w:rsidRPr="003276DB">
        <w:rPr>
          <w:rFonts w:ascii="Garamond" w:hAnsi="Garamond" w:cs="Times"/>
        </w:rPr>
        <w:t xml:space="preserve"> che colpisce ~1% della popolazione generale con età </w:t>
      </w:r>
      <w:r w:rsidRPr="003276DB">
        <w:rPr>
          <w:rFonts w:ascii="Garamond" w:hAnsi="Garamond"/>
        </w:rPr>
        <w:t>≥</w:t>
      </w:r>
      <w:r w:rsidRPr="003276DB">
        <w:rPr>
          <w:rFonts w:ascii="Garamond" w:hAnsi="Garamond" w:cs="Times"/>
        </w:rPr>
        <w:t xml:space="preserve">65 anni. Sebbene la MP sia considerata tipicamente un malattia neurologica motoria, manifestazioni non motorie, come le disfunzioni </w:t>
      </w:r>
      <w:proofErr w:type="spellStart"/>
      <w:r w:rsidRPr="003276DB">
        <w:rPr>
          <w:rFonts w:ascii="Garamond" w:hAnsi="Garamond" w:cs="Times"/>
        </w:rPr>
        <w:t>autonomiche</w:t>
      </w:r>
      <w:proofErr w:type="spellEnd"/>
      <w:r w:rsidRPr="003276DB">
        <w:rPr>
          <w:rFonts w:ascii="Garamond" w:hAnsi="Garamond" w:cs="Times"/>
        </w:rPr>
        <w:t xml:space="preserve">, in particolare quelle che coinvolgono il tratto gastrointestinale (GI), sono sempre più frequentemente diagnosticate nei pazienti parkinsoniani (1-4). Anche le alterazioni istopatologiche patognomoniche di MP, ossia i corpi e neuriti di </w:t>
      </w:r>
      <w:proofErr w:type="spellStart"/>
      <w:r w:rsidRPr="003276DB">
        <w:rPr>
          <w:rFonts w:ascii="Garamond" w:hAnsi="Garamond" w:cs="Times"/>
        </w:rPr>
        <w:t>Lewy</w:t>
      </w:r>
      <w:proofErr w:type="spellEnd"/>
      <w:r w:rsidRPr="003276DB">
        <w:rPr>
          <w:rFonts w:ascii="Garamond" w:hAnsi="Garamond" w:cs="Times"/>
        </w:rPr>
        <w:t xml:space="preserve">, possono essere identificate nei neuroni del sistema nervoso enterico (SNE), l'innervazione intrinseca del canale alimentare (5,6). Da un punto di vista clinico, le manifestazioni GI più frequentemente identificate nel paziente con MP comprendono la disfagia (difficoltà alla deglutizione), la </w:t>
      </w:r>
      <w:proofErr w:type="spellStart"/>
      <w:r w:rsidRPr="003276DB">
        <w:rPr>
          <w:rFonts w:ascii="Garamond" w:hAnsi="Garamond" w:cs="Times"/>
        </w:rPr>
        <w:t>gastroparesi</w:t>
      </w:r>
      <w:proofErr w:type="spellEnd"/>
      <w:r w:rsidRPr="003276DB">
        <w:rPr>
          <w:rFonts w:ascii="Garamond" w:hAnsi="Garamond" w:cs="Times"/>
        </w:rPr>
        <w:t xml:space="preserve"> (compromissione dello svuotamento gastrico) e la stipsi cronica (evacuazioni scarse e con emissione di feci dure). Tutte queste condizioni trovano una spiegazione fisiopatologica nelle alterazioni morfo-funzionali del SNE, il principale meccanismo di controllo delle attività digestive. Il SNE è organizzato in due plessi gangliari maggiori (mienterico o di </w:t>
      </w:r>
      <w:proofErr w:type="spellStart"/>
      <w:r w:rsidRPr="003276DB">
        <w:rPr>
          <w:rFonts w:ascii="Garamond" w:hAnsi="Garamond" w:cs="Times"/>
          <w:i/>
          <w:iCs/>
        </w:rPr>
        <w:t>Auerbach</w:t>
      </w:r>
      <w:proofErr w:type="spellEnd"/>
      <w:r w:rsidRPr="003276DB">
        <w:rPr>
          <w:rFonts w:ascii="Garamond" w:hAnsi="Garamond" w:cs="Times"/>
        </w:rPr>
        <w:t>; sottomucoso, di</w:t>
      </w:r>
      <w:r w:rsidRPr="003276DB">
        <w:rPr>
          <w:rFonts w:ascii="Garamond" w:hAnsi="Garamond" w:cs="Times"/>
          <w:i/>
          <w:iCs/>
        </w:rPr>
        <w:t xml:space="preserve"> </w:t>
      </w:r>
      <w:proofErr w:type="spellStart"/>
      <w:r w:rsidRPr="003276DB">
        <w:rPr>
          <w:rFonts w:ascii="Garamond" w:hAnsi="Garamond" w:cs="Times"/>
          <w:i/>
          <w:iCs/>
        </w:rPr>
        <w:t>Meissner</w:t>
      </w:r>
      <w:proofErr w:type="spellEnd"/>
      <w:r w:rsidRPr="003276DB">
        <w:rPr>
          <w:rFonts w:ascii="Garamond" w:hAnsi="Garamond" w:cs="Times"/>
        </w:rPr>
        <w:t>) che formano una rete neuronale per tutta la lunghezza del</w:t>
      </w:r>
      <w:r w:rsidRPr="003276DB">
        <w:rPr>
          <w:rFonts w:ascii="Garamond" w:hAnsi="Garamond" w:cs="Times"/>
          <w:i/>
          <w:iCs/>
        </w:rPr>
        <w:t xml:space="preserve"> </w:t>
      </w:r>
      <w:r w:rsidRPr="003276DB">
        <w:rPr>
          <w:rFonts w:ascii="Garamond" w:hAnsi="Garamond" w:cs="Times"/>
        </w:rPr>
        <w:t xml:space="preserve">canale alimentare. In entrambi i plessi gangliari del SNE sono state identificate varie classi neuronali funzionalmente distinte (ossia motoneuroni, neuroni afferenti o IPAN, </w:t>
      </w:r>
      <w:proofErr w:type="spellStart"/>
      <w:r w:rsidRPr="003276DB">
        <w:rPr>
          <w:rFonts w:ascii="Garamond" w:hAnsi="Garamond" w:cs="Times"/>
        </w:rPr>
        <w:t>secretomotoneuroni</w:t>
      </w:r>
      <w:proofErr w:type="spellEnd"/>
      <w:r w:rsidRPr="003276DB">
        <w:rPr>
          <w:rFonts w:ascii="Garamond" w:hAnsi="Garamond" w:cs="Times"/>
        </w:rPr>
        <w:t xml:space="preserve"> e </w:t>
      </w:r>
      <w:proofErr w:type="spellStart"/>
      <w:r w:rsidRPr="003276DB">
        <w:rPr>
          <w:rFonts w:ascii="Garamond" w:hAnsi="Garamond" w:cs="Times"/>
        </w:rPr>
        <w:t>vasomotoneuroni</w:t>
      </w:r>
      <w:proofErr w:type="spellEnd"/>
      <w:r w:rsidRPr="003276DB">
        <w:rPr>
          <w:rFonts w:ascii="Garamond" w:hAnsi="Garamond" w:cs="Times"/>
        </w:rPr>
        <w:t>) per un totale di ~500 milioni di neuroni, tanti quanti se ne trovano nel midollo spinale (7).</w:t>
      </w:r>
    </w:p>
    <w:p w:rsidR="005D54B4" w:rsidRPr="003276DB" w:rsidRDefault="005D54B4">
      <w:pPr>
        <w:widowControl w:val="0"/>
        <w:autoSpaceDE w:val="0"/>
        <w:autoSpaceDN w:val="0"/>
        <w:adjustRightInd w:val="0"/>
        <w:spacing w:after="0" w:line="21" w:lineRule="exact"/>
        <w:rPr>
          <w:rFonts w:ascii="Garamond" w:hAnsi="Garamond"/>
        </w:rPr>
      </w:pPr>
    </w:p>
    <w:p w:rsidR="005D54B4" w:rsidRPr="003276DB" w:rsidRDefault="005D54B4">
      <w:pPr>
        <w:widowControl w:val="0"/>
        <w:overflowPunct w:val="0"/>
        <w:autoSpaceDE w:val="0"/>
        <w:autoSpaceDN w:val="0"/>
        <w:adjustRightInd w:val="0"/>
        <w:spacing w:after="0" w:line="238" w:lineRule="auto"/>
        <w:ind w:right="20"/>
        <w:jc w:val="both"/>
        <w:rPr>
          <w:rFonts w:ascii="Garamond" w:hAnsi="Garamond"/>
        </w:rPr>
      </w:pPr>
      <w:r w:rsidRPr="003276DB">
        <w:rPr>
          <w:rFonts w:ascii="Garamond" w:hAnsi="Garamond" w:cs="Times"/>
        </w:rPr>
        <w:t xml:space="preserve">Per quanto concerne la stipsi, che interessa fino all'80% dei pazienti con MP, essa spesso precede di anni la manifestazione dei sintomi motori tipici e dati recenti suggeriscono che la sua insorgenza in pazienti </w:t>
      </w:r>
      <w:proofErr w:type="spellStart"/>
      <w:r w:rsidRPr="003276DB">
        <w:rPr>
          <w:rFonts w:ascii="Garamond" w:hAnsi="Garamond" w:cs="Times"/>
        </w:rPr>
        <w:t>pre</w:t>
      </w:r>
      <w:proofErr w:type="spellEnd"/>
      <w:r w:rsidRPr="003276DB">
        <w:rPr>
          <w:rFonts w:ascii="Garamond" w:hAnsi="Garamond" w:cs="Times"/>
        </w:rPr>
        <w:t>-sintomatici sia correlata ad un aumentato rischio di sviluppo di MP (4). L'analisi del SNE nel parkinsoniano con stipsi cronica può aiutar e a comprendere sia la progressione della MP sia le alterazioni funzionali enteriche che la caratterizzano. L’obiettivo del presente progetto è stato quello di studiare le alterazioni del SNE alla base della stipsi cronica del paziente con MP attraverso un approccio metodologico innovativo volto ad isolare il plesso sottomucoso (e la componente vascolare ad esso associata) da biopsie della mucosa colica, prelevate durante colonscopie di routine</w:t>
      </w:r>
    </w:p>
    <w:p w:rsidR="005D54B4" w:rsidRPr="003276DB" w:rsidRDefault="005D54B4">
      <w:pPr>
        <w:widowControl w:val="0"/>
        <w:autoSpaceDE w:val="0"/>
        <w:autoSpaceDN w:val="0"/>
        <w:adjustRightInd w:val="0"/>
        <w:spacing w:after="0" w:line="9"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rPr>
        <w:t>(8).</w:t>
      </w:r>
    </w:p>
    <w:p w:rsidR="005D54B4" w:rsidRPr="003276DB" w:rsidRDefault="005D54B4">
      <w:pPr>
        <w:widowControl w:val="0"/>
        <w:autoSpaceDE w:val="0"/>
        <w:autoSpaceDN w:val="0"/>
        <w:adjustRightInd w:val="0"/>
        <w:spacing w:after="0" w:line="281"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b/>
          <w:bCs/>
        </w:rPr>
        <w:t>Materiali e Metodi</w:t>
      </w:r>
    </w:p>
    <w:p w:rsidR="005D54B4" w:rsidRPr="003276DB" w:rsidRDefault="005D54B4">
      <w:pPr>
        <w:widowControl w:val="0"/>
        <w:autoSpaceDE w:val="0"/>
        <w:autoSpaceDN w:val="0"/>
        <w:adjustRightInd w:val="0"/>
        <w:spacing w:after="0" w:line="5" w:lineRule="exact"/>
        <w:rPr>
          <w:rFonts w:ascii="Garamond" w:hAnsi="Garamond"/>
        </w:rPr>
      </w:pPr>
    </w:p>
    <w:p w:rsidR="003276DB" w:rsidRDefault="003276DB">
      <w:pPr>
        <w:widowControl w:val="0"/>
        <w:overflowPunct w:val="0"/>
        <w:autoSpaceDE w:val="0"/>
        <w:autoSpaceDN w:val="0"/>
        <w:adjustRightInd w:val="0"/>
        <w:spacing w:after="0" w:line="239" w:lineRule="auto"/>
        <w:jc w:val="both"/>
        <w:rPr>
          <w:rFonts w:ascii="Garamond" w:hAnsi="Garamond" w:cs="Times"/>
        </w:rPr>
      </w:pPr>
    </w:p>
    <w:p w:rsidR="005D54B4" w:rsidRPr="003276DB" w:rsidRDefault="005D54B4">
      <w:pPr>
        <w:widowControl w:val="0"/>
        <w:overflowPunct w:val="0"/>
        <w:autoSpaceDE w:val="0"/>
        <w:autoSpaceDN w:val="0"/>
        <w:adjustRightInd w:val="0"/>
        <w:spacing w:after="0" w:line="239" w:lineRule="auto"/>
        <w:jc w:val="both"/>
        <w:rPr>
          <w:rFonts w:ascii="Garamond" w:hAnsi="Garamond"/>
        </w:rPr>
      </w:pPr>
      <w:r w:rsidRPr="003276DB">
        <w:rPr>
          <w:rFonts w:ascii="Garamond" w:hAnsi="Garamond" w:cs="Times"/>
        </w:rPr>
        <w:t xml:space="preserve">Tutti i pazienti con MP e stipsi cronica sono stati reclutati presso il Dipartimento di Scienze Mediche e Chirurgiche (DIMEC) / D.A.I. Malattie dell'Apparato Digerente e Medicina Interna dell’Azienda Ospedaliero Universitaria S. Orsola-Malpighi di Bologna sulla base di una valutazione neurologica (U.O. Neurologia - Prof. Cirignotta del </w:t>
      </w:r>
      <w:proofErr w:type="spellStart"/>
      <w:r w:rsidRPr="003276DB">
        <w:rPr>
          <w:rFonts w:ascii="Garamond" w:hAnsi="Garamond" w:cs="Times"/>
        </w:rPr>
        <w:t>S.Orsola-Malpighi</w:t>
      </w:r>
      <w:proofErr w:type="spellEnd"/>
      <w:r w:rsidRPr="003276DB">
        <w:rPr>
          <w:rFonts w:ascii="Garamond" w:hAnsi="Garamond" w:cs="Times"/>
        </w:rPr>
        <w:t>) e gastroenterologica. Un gruppo di soggetti asintomatici sottoposti a colonscopia di screening per cancro colon-rettale è servito da controllo. Lo studio è stato approvato dal Comitato Etico indipendente del S. Orsola-Malpighi di Bologna (numero di riferimento: 66/2011/U/</w:t>
      </w:r>
      <w:proofErr w:type="spellStart"/>
      <w:r w:rsidRPr="003276DB">
        <w:rPr>
          <w:rFonts w:ascii="Garamond" w:hAnsi="Garamond" w:cs="Times"/>
        </w:rPr>
        <w:t>Tess</w:t>
      </w:r>
      <w:proofErr w:type="spellEnd"/>
      <w:r w:rsidRPr="003276DB">
        <w:rPr>
          <w:rFonts w:ascii="Garamond" w:hAnsi="Garamond" w:cs="Times"/>
        </w:rPr>
        <w:t xml:space="preserve">). La stipsi cronica è stata definita in base ad un questionario sintomatologico (secondo i criteri di Roma III) e le disfunzioni GI sono state studiate mediante valutazione del tempo di transito intestinale e manometria anorettale (per il tono e la </w:t>
      </w:r>
      <w:proofErr w:type="spellStart"/>
      <w:r w:rsidRPr="003276DB">
        <w:rPr>
          <w:rFonts w:ascii="Garamond" w:hAnsi="Garamond" w:cs="Times"/>
        </w:rPr>
        <w:t>compliance</w:t>
      </w:r>
      <w:proofErr w:type="spellEnd"/>
      <w:r w:rsidRPr="003276DB">
        <w:rPr>
          <w:rFonts w:ascii="Garamond" w:hAnsi="Garamond" w:cs="Times"/>
        </w:rPr>
        <w:t xml:space="preserve"> dello sfintere rettale).</w:t>
      </w:r>
    </w:p>
    <w:p w:rsidR="003276DB" w:rsidRDefault="003276DB">
      <w:pPr>
        <w:widowControl w:val="0"/>
        <w:overflowPunct w:val="0"/>
        <w:autoSpaceDE w:val="0"/>
        <w:autoSpaceDN w:val="0"/>
        <w:adjustRightInd w:val="0"/>
        <w:spacing w:after="0" w:line="239" w:lineRule="auto"/>
        <w:jc w:val="both"/>
        <w:rPr>
          <w:rFonts w:ascii="Garamond" w:hAnsi="Garamond" w:cs="Times"/>
        </w:rPr>
      </w:pPr>
      <w:bookmarkStart w:id="0" w:name="page2"/>
      <w:bookmarkEnd w:id="0"/>
    </w:p>
    <w:p w:rsidR="005D54B4" w:rsidRPr="003276DB" w:rsidRDefault="005D54B4">
      <w:pPr>
        <w:widowControl w:val="0"/>
        <w:overflowPunct w:val="0"/>
        <w:autoSpaceDE w:val="0"/>
        <w:autoSpaceDN w:val="0"/>
        <w:adjustRightInd w:val="0"/>
        <w:spacing w:after="0" w:line="239" w:lineRule="auto"/>
        <w:jc w:val="both"/>
        <w:rPr>
          <w:rFonts w:ascii="Garamond" w:hAnsi="Garamond"/>
        </w:rPr>
      </w:pPr>
      <w:r w:rsidRPr="003276DB">
        <w:rPr>
          <w:rFonts w:ascii="Garamond" w:hAnsi="Garamond" w:cs="Times"/>
        </w:rPr>
        <w:t xml:space="preserve">In corso di colonscopia sono state prelevate n= 4 biopsie della mucosa colica per ogni paziente con stipsi / MP e per ogni controllo. Da tali biopsie sono state ottenute preparazioni </w:t>
      </w:r>
      <w:proofErr w:type="spellStart"/>
      <w:r w:rsidRPr="003276DB">
        <w:rPr>
          <w:rFonts w:ascii="Garamond" w:hAnsi="Garamond" w:cs="Times"/>
          <w:i/>
          <w:iCs/>
        </w:rPr>
        <w:t>whole-mount</w:t>
      </w:r>
      <w:proofErr w:type="spellEnd"/>
      <w:r w:rsidRPr="003276DB">
        <w:rPr>
          <w:rFonts w:ascii="Garamond" w:hAnsi="Garamond" w:cs="Times"/>
        </w:rPr>
        <w:t xml:space="preserve"> del plesso sottomucoso, valutate con immunoistochimica a singola e doppia marcatura utilizzando i seguenti anticorpi: 1) anti-PGP9.5 (</w:t>
      </w:r>
      <w:proofErr w:type="spellStart"/>
      <w:r w:rsidRPr="003276DB">
        <w:rPr>
          <w:rFonts w:ascii="Garamond" w:hAnsi="Garamond" w:cs="Times"/>
        </w:rPr>
        <w:t>panmarker</w:t>
      </w:r>
      <w:proofErr w:type="spellEnd"/>
      <w:r w:rsidRPr="003276DB">
        <w:rPr>
          <w:rFonts w:ascii="Garamond" w:hAnsi="Garamond" w:cs="Times"/>
        </w:rPr>
        <w:t xml:space="preserve"> neuronale; </w:t>
      </w:r>
      <w:proofErr w:type="spellStart"/>
      <w:r w:rsidRPr="003276DB">
        <w:rPr>
          <w:rFonts w:ascii="Garamond" w:hAnsi="Garamond" w:cs="Times"/>
        </w:rPr>
        <w:t>Chemicon</w:t>
      </w:r>
      <w:proofErr w:type="spellEnd"/>
      <w:r w:rsidRPr="003276DB">
        <w:rPr>
          <w:rFonts w:ascii="Garamond" w:hAnsi="Garamond" w:cs="Times"/>
        </w:rPr>
        <w:t>, 1:500); anti-</w:t>
      </w:r>
      <w:proofErr w:type="spellStart"/>
      <w:r w:rsidRPr="003276DB">
        <w:rPr>
          <w:rFonts w:ascii="Garamond" w:hAnsi="Garamond" w:cs="Times"/>
        </w:rPr>
        <w:t>HuC</w:t>
      </w:r>
      <w:proofErr w:type="spellEnd"/>
      <w:r w:rsidRPr="003276DB">
        <w:rPr>
          <w:rFonts w:ascii="Garamond" w:hAnsi="Garamond" w:cs="Times"/>
        </w:rPr>
        <w:t>/D (</w:t>
      </w:r>
      <w:proofErr w:type="spellStart"/>
      <w:r w:rsidRPr="003276DB">
        <w:rPr>
          <w:rFonts w:ascii="Garamond" w:hAnsi="Garamond" w:cs="Times"/>
        </w:rPr>
        <w:t>panmarker</w:t>
      </w:r>
      <w:proofErr w:type="spellEnd"/>
      <w:r w:rsidRPr="003276DB">
        <w:rPr>
          <w:rFonts w:ascii="Garamond" w:hAnsi="Garamond" w:cs="Times"/>
        </w:rPr>
        <w:t xml:space="preserve"> neuronale; </w:t>
      </w:r>
      <w:proofErr w:type="spellStart"/>
      <w:r w:rsidRPr="003276DB">
        <w:rPr>
          <w:rFonts w:ascii="Garamond" w:hAnsi="Garamond" w:cs="Times"/>
        </w:rPr>
        <w:t>Molecular</w:t>
      </w:r>
      <w:proofErr w:type="spellEnd"/>
      <w:r w:rsidRPr="003276DB">
        <w:rPr>
          <w:rFonts w:ascii="Garamond" w:hAnsi="Garamond" w:cs="Times"/>
        </w:rPr>
        <w:t xml:space="preserve"> </w:t>
      </w:r>
      <w:proofErr w:type="spellStart"/>
      <w:r w:rsidRPr="003276DB">
        <w:rPr>
          <w:rFonts w:ascii="Garamond" w:hAnsi="Garamond" w:cs="Times"/>
        </w:rPr>
        <w:t>Probes</w:t>
      </w:r>
      <w:proofErr w:type="spellEnd"/>
      <w:r w:rsidRPr="003276DB">
        <w:rPr>
          <w:rFonts w:ascii="Garamond" w:hAnsi="Garamond" w:cs="Times"/>
        </w:rPr>
        <w:t xml:space="preserve">, 1:250); anti-polipeptide intestinale vasoattivo (VIP) (marker di </w:t>
      </w:r>
      <w:proofErr w:type="spellStart"/>
      <w:r w:rsidRPr="003276DB">
        <w:rPr>
          <w:rFonts w:ascii="Garamond" w:hAnsi="Garamond" w:cs="Times"/>
        </w:rPr>
        <w:t>secretomotoneuroni</w:t>
      </w:r>
      <w:proofErr w:type="spellEnd"/>
      <w:r w:rsidRPr="003276DB">
        <w:rPr>
          <w:rFonts w:ascii="Garamond" w:hAnsi="Garamond" w:cs="Times"/>
        </w:rPr>
        <w:t xml:space="preserve"> / </w:t>
      </w:r>
      <w:proofErr w:type="spellStart"/>
      <w:r w:rsidRPr="003276DB">
        <w:rPr>
          <w:rFonts w:ascii="Garamond" w:hAnsi="Garamond" w:cs="Times"/>
        </w:rPr>
        <w:t>vasomotoneuroni</w:t>
      </w:r>
      <w:proofErr w:type="spellEnd"/>
      <w:r w:rsidRPr="003276DB">
        <w:rPr>
          <w:rFonts w:ascii="Garamond" w:hAnsi="Garamond" w:cs="Times"/>
        </w:rPr>
        <w:t xml:space="preserve">; CURE/DDRC, UCLA, USA; 1:2500); anti-colina </w:t>
      </w:r>
      <w:proofErr w:type="spellStart"/>
      <w:r w:rsidRPr="003276DB">
        <w:rPr>
          <w:rFonts w:ascii="Garamond" w:hAnsi="Garamond" w:cs="Times"/>
        </w:rPr>
        <w:t>acetiltransferasi</w:t>
      </w:r>
      <w:proofErr w:type="spellEnd"/>
      <w:r w:rsidRPr="003276DB">
        <w:rPr>
          <w:rFonts w:ascii="Garamond" w:hAnsi="Garamond" w:cs="Times"/>
        </w:rPr>
        <w:t xml:space="preserve"> (</w:t>
      </w:r>
      <w:proofErr w:type="spellStart"/>
      <w:r w:rsidRPr="003276DB">
        <w:rPr>
          <w:rFonts w:ascii="Garamond" w:hAnsi="Garamond" w:cs="Times"/>
        </w:rPr>
        <w:t>ChAT</w:t>
      </w:r>
      <w:proofErr w:type="spellEnd"/>
      <w:r w:rsidRPr="003276DB">
        <w:rPr>
          <w:rFonts w:ascii="Garamond" w:hAnsi="Garamond" w:cs="Times"/>
        </w:rPr>
        <w:t xml:space="preserve">) (marker per i neuroni colinergici; </w:t>
      </w:r>
      <w:proofErr w:type="spellStart"/>
      <w:r w:rsidRPr="003276DB">
        <w:rPr>
          <w:rFonts w:ascii="Garamond" w:hAnsi="Garamond" w:cs="Times"/>
        </w:rPr>
        <w:t>Chemicon</w:t>
      </w:r>
      <w:proofErr w:type="spellEnd"/>
      <w:r w:rsidRPr="003276DB">
        <w:rPr>
          <w:rFonts w:ascii="Garamond" w:hAnsi="Garamond" w:cs="Times"/>
        </w:rPr>
        <w:t xml:space="preserve">, 1:100); anti-tirosina </w:t>
      </w:r>
      <w:proofErr w:type="spellStart"/>
      <w:r w:rsidRPr="003276DB">
        <w:rPr>
          <w:rFonts w:ascii="Garamond" w:hAnsi="Garamond" w:cs="Times"/>
        </w:rPr>
        <w:t>idrossilasi</w:t>
      </w:r>
      <w:proofErr w:type="spellEnd"/>
      <w:r w:rsidRPr="003276DB">
        <w:rPr>
          <w:rFonts w:ascii="Garamond" w:hAnsi="Garamond" w:cs="Times"/>
        </w:rPr>
        <w:t xml:space="preserve"> (TH) (marker adrenergico; </w:t>
      </w:r>
      <w:proofErr w:type="spellStart"/>
      <w:r w:rsidRPr="003276DB">
        <w:rPr>
          <w:rFonts w:ascii="Garamond" w:hAnsi="Garamond" w:cs="Times"/>
        </w:rPr>
        <w:t>Monosan</w:t>
      </w:r>
      <w:proofErr w:type="spellEnd"/>
      <w:r w:rsidRPr="003276DB">
        <w:rPr>
          <w:rFonts w:ascii="Garamond" w:hAnsi="Garamond" w:cs="Times"/>
        </w:rPr>
        <w:t xml:space="preserve">, 1:40). Le valutazioni quantitative dei neuroni del plesso </w:t>
      </w:r>
      <w:r w:rsidRPr="003276DB">
        <w:rPr>
          <w:rFonts w:ascii="Garamond" w:hAnsi="Garamond" w:cs="Times"/>
        </w:rPr>
        <w:lastRenderedPageBreak/>
        <w:t xml:space="preserve">sottomucosa dei pazienti con stipsi / MP vs. controlli sono state effettuate mediante test </w:t>
      </w:r>
      <w:r w:rsidRPr="003276DB">
        <w:rPr>
          <w:rFonts w:ascii="Garamond" w:hAnsi="Garamond" w:cs="Times"/>
          <w:i/>
          <w:iCs/>
        </w:rPr>
        <w:t>t</w:t>
      </w:r>
      <w:r w:rsidRPr="003276DB">
        <w:rPr>
          <w:rFonts w:ascii="Garamond" w:hAnsi="Garamond" w:cs="Times"/>
        </w:rPr>
        <w:t>-</w:t>
      </w:r>
      <w:proofErr w:type="spellStart"/>
      <w:r w:rsidRPr="003276DB">
        <w:rPr>
          <w:rFonts w:ascii="Garamond" w:hAnsi="Garamond" w:cs="Times"/>
        </w:rPr>
        <w:t>Student</w:t>
      </w:r>
      <w:proofErr w:type="spellEnd"/>
      <w:r w:rsidRPr="003276DB">
        <w:rPr>
          <w:rFonts w:ascii="Garamond" w:hAnsi="Garamond" w:cs="Times"/>
        </w:rPr>
        <w:t xml:space="preserve">. Le correlazioni con i dati clinici sono state effettuate mediante test di </w:t>
      </w:r>
      <w:proofErr w:type="spellStart"/>
      <w:r w:rsidRPr="003276DB">
        <w:rPr>
          <w:rFonts w:ascii="Garamond" w:hAnsi="Garamond" w:cs="Times"/>
        </w:rPr>
        <w:t>Spermann</w:t>
      </w:r>
      <w:proofErr w:type="spellEnd"/>
      <w:r w:rsidRPr="003276DB">
        <w:rPr>
          <w:rFonts w:ascii="Garamond" w:hAnsi="Garamond" w:cs="Times"/>
        </w:rPr>
        <w:t>.</w:t>
      </w:r>
    </w:p>
    <w:p w:rsidR="005D54B4" w:rsidRPr="003276DB" w:rsidRDefault="005D54B4">
      <w:pPr>
        <w:widowControl w:val="0"/>
        <w:autoSpaceDE w:val="0"/>
        <w:autoSpaceDN w:val="0"/>
        <w:adjustRightInd w:val="0"/>
        <w:spacing w:after="0" w:line="282"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b/>
          <w:bCs/>
        </w:rPr>
        <w:t>Risultati</w:t>
      </w:r>
    </w:p>
    <w:p w:rsidR="003276DB" w:rsidRDefault="003276DB">
      <w:pPr>
        <w:widowControl w:val="0"/>
        <w:autoSpaceDE w:val="0"/>
        <w:autoSpaceDN w:val="0"/>
        <w:adjustRightInd w:val="0"/>
        <w:spacing w:after="0" w:line="235" w:lineRule="auto"/>
        <w:rPr>
          <w:rFonts w:ascii="Garamond" w:hAnsi="Garamond" w:cs="Times"/>
          <w:i/>
          <w:iCs/>
        </w:rPr>
      </w:pPr>
    </w:p>
    <w:p w:rsidR="005D54B4" w:rsidRPr="003276DB" w:rsidRDefault="005D54B4">
      <w:pPr>
        <w:widowControl w:val="0"/>
        <w:autoSpaceDE w:val="0"/>
        <w:autoSpaceDN w:val="0"/>
        <w:adjustRightInd w:val="0"/>
        <w:spacing w:after="0" w:line="235" w:lineRule="auto"/>
        <w:rPr>
          <w:rFonts w:ascii="Garamond" w:hAnsi="Garamond"/>
        </w:rPr>
      </w:pPr>
      <w:r w:rsidRPr="003276DB">
        <w:rPr>
          <w:rFonts w:ascii="Garamond" w:hAnsi="Garamond" w:cs="Times"/>
          <w:i/>
          <w:iCs/>
        </w:rPr>
        <w:t>Reclutamento dei pazienti e dei controlli</w:t>
      </w:r>
    </w:p>
    <w:p w:rsidR="005D54B4" w:rsidRPr="003276DB" w:rsidRDefault="005D54B4">
      <w:pPr>
        <w:widowControl w:val="0"/>
        <w:autoSpaceDE w:val="0"/>
        <w:autoSpaceDN w:val="0"/>
        <w:adjustRightInd w:val="0"/>
        <w:spacing w:after="0" w:line="11" w:lineRule="exact"/>
        <w:rPr>
          <w:rFonts w:ascii="Garamond" w:hAnsi="Garamond"/>
        </w:rPr>
      </w:pPr>
    </w:p>
    <w:p w:rsidR="005D54B4" w:rsidRPr="003276DB" w:rsidRDefault="005D54B4">
      <w:pPr>
        <w:widowControl w:val="0"/>
        <w:overflowPunct w:val="0"/>
        <w:autoSpaceDE w:val="0"/>
        <w:autoSpaceDN w:val="0"/>
        <w:adjustRightInd w:val="0"/>
        <w:spacing w:after="0" w:line="238" w:lineRule="auto"/>
        <w:jc w:val="both"/>
        <w:rPr>
          <w:rFonts w:ascii="Garamond" w:hAnsi="Garamond"/>
        </w:rPr>
      </w:pPr>
      <w:r w:rsidRPr="003276DB">
        <w:rPr>
          <w:rFonts w:ascii="Garamond" w:hAnsi="Garamond" w:cs="Times"/>
        </w:rPr>
        <w:t xml:space="preserve">Abbiamo individuato n= 42 pazienti con MP e stipsi. Di questi, n= 8 hanno rifiutato di firmare il consenso informato e di conseguenza non sono stati arruolati nello studio; dei restanti 34, n= 16 (9 M, 7F; età media 74 aa) hanno completato lo studio (visite neurologiche e gastroenterologiche, colonscopia con biopsie e indagini GI). Gli altri casi di MP, n= 18, sono ancora in corso di studio. Infine, n= 16 soggetti asintomatici di controllo comparabili per età e sesso ai pazienti con MP (9M, 7F) sono stati sottoposti alla sola </w:t>
      </w:r>
      <w:proofErr w:type="spellStart"/>
      <w:r w:rsidRPr="003276DB">
        <w:rPr>
          <w:rFonts w:ascii="Garamond" w:hAnsi="Garamond" w:cs="Times"/>
        </w:rPr>
        <w:t>colonoscopia</w:t>
      </w:r>
      <w:proofErr w:type="spellEnd"/>
      <w:r w:rsidRPr="003276DB">
        <w:rPr>
          <w:rFonts w:ascii="Garamond" w:hAnsi="Garamond" w:cs="Times"/>
        </w:rPr>
        <w:t xml:space="preserve"> e relativo campionamento bioptico della mucosa.</w:t>
      </w:r>
    </w:p>
    <w:p w:rsidR="005D54B4" w:rsidRPr="003276DB" w:rsidRDefault="005D54B4">
      <w:pPr>
        <w:widowControl w:val="0"/>
        <w:autoSpaceDE w:val="0"/>
        <w:autoSpaceDN w:val="0"/>
        <w:adjustRightInd w:val="0"/>
        <w:spacing w:after="0" w:line="4" w:lineRule="exact"/>
        <w:rPr>
          <w:rFonts w:ascii="Garamond" w:hAnsi="Garamond"/>
        </w:rPr>
      </w:pPr>
    </w:p>
    <w:p w:rsidR="003276DB" w:rsidRDefault="003276DB">
      <w:pPr>
        <w:widowControl w:val="0"/>
        <w:autoSpaceDE w:val="0"/>
        <w:autoSpaceDN w:val="0"/>
        <w:adjustRightInd w:val="0"/>
        <w:spacing w:after="0" w:line="240" w:lineRule="auto"/>
        <w:rPr>
          <w:rFonts w:ascii="Garamond" w:hAnsi="Garamond" w:cs="Times"/>
          <w:i/>
          <w:iCs/>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i/>
          <w:iCs/>
        </w:rPr>
        <w:t>Valutazione dei pazienti con stipsi / MP</w:t>
      </w:r>
    </w:p>
    <w:p w:rsidR="005D54B4" w:rsidRPr="003276DB" w:rsidRDefault="005D54B4">
      <w:pPr>
        <w:widowControl w:val="0"/>
        <w:autoSpaceDE w:val="0"/>
        <w:autoSpaceDN w:val="0"/>
        <w:adjustRightInd w:val="0"/>
        <w:spacing w:after="0" w:line="10" w:lineRule="exact"/>
        <w:rPr>
          <w:rFonts w:ascii="Garamond" w:hAnsi="Garamond"/>
        </w:rPr>
      </w:pPr>
    </w:p>
    <w:p w:rsidR="005D54B4" w:rsidRPr="003276DB" w:rsidRDefault="005D54B4">
      <w:pPr>
        <w:widowControl w:val="0"/>
        <w:overflowPunct w:val="0"/>
        <w:autoSpaceDE w:val="0"/>
        <w:autoSpaceDN w:val="0"/>
        <w:adjustRightInd w:val="0"/>
        <w:spacing w:after="0" w:line="238" w:lineRule="auto"/>
        <w:jc w:val="both"/>
        <w:rPr>
          <w:rFonts w:ascii="Garamond" w:hAnsi="Garamond"/>
        </w:rPr>
      </w:pPr>
      <w:r w:rsidRPr="003276DB">
        <w:rPr>
          <w:rFonts w:ascii="Garamond" w:hAnsi="Garamond" w:cs="Times"/>
        </w:rPr>
        <w:t xml:space="preserve">La maggior parte (~90%) dei pazienti con stipsi e MP ha mostrato alterazioni della funzione </w:t>
      </w:r>
      <w:proofErr w:type="spellStart"/>
      <w:r w:rsidRPr="003276DB">
        <w:rPr>
          <w:rFonts w:ascii="Garamond" w:hAnsi="Garamond" w:cs="Times"/>
        </w:rPr>
        <w:t>sensitivomotoria</w:t>
      </w:r>
      <w:proofErr w:type="spellEnd"/>
      <w:r w:rsidRPr="003276DB">
        <w:rPr>
          <w:rFonts w:ascii="Garamond" w:hAnsi="Garamond" w:cs="Times"/>
        </w:rPr>
        <w:t xml:space="preserve"> del tratto colon-rettale. Basandoci sui criteri di Roma III e sui test diagnostici, si sono identificati quattro gruppi di pazienti: </w:t>
      </w:r>
      <w:r w:rsidRPr="003276DB">
        <w:rPr>
          <w:rFonts w:ascii="Garamond" w:hAnsi="Garamond" w:cs="Times"/>
          <w:i/>
          <w:iCs/>
        </w:rPr>
        <w:t>i</w:t>
      </w:r>
      <w:r w:rsidRPr="003276DB">
        <w:rPr>
          <w:rFonts w:ascii="Garamond" w:hAnsi="Garamond" w:cs="Times"/>
        </w:rPr>
        <w:t xml:space="preserve">) rallentato transito del colon e disfunzione ano-rettale (55%); </w:t>
      </w:r>
      <w:r w:rsidRPr="003276DB">
        <w:rPr>
          <w:rFonts w:ascii="Garamond" w:hAnsi="Garamond" w:cs="Times"/>
          <w:i/>
          <w:iCs/>
        </w:rPr>
        <w:t>ii</w:t>
      </w:r>
      <w:r w:rsidRPr="003276DB">
        <w:rPr>
          <w:rFonts w:ascii="Garamond" w:hAnsi="Garamond" w:cs="Times"/>
        </w:rPr>
        <w:t xml:space="preserve">) solo rallentato transito (15%); </w:t>
      </w:r>
      <w:r w:rsidRPr="003276DB">
        <w:rPr>
          <w:rFonts w:ascii="Garamond" w:hAnsi="Garamond" w:cs="Times"/>
          <w:i/>
          <w:iCs/>
        </w:rPr>
        <w:t>iii</w:t>
      </w:r>
      <w:r w:rsidRPr="003276DB">
        <w:rPr>
          <w:rFonts w:ascii="Garamond" w:hAnsi="Garamond" w:cs="Times"/>
        </w:rPr>
        <w:t xml:space="preserve">) solo con disfunzione anorettale (20%); </w:t>
      </w:r>
      <w:proofErr w:type="spellStart"/>
      <w:r w:rsidRPr="003276DB">
        <w:rPr>
          <w:rFonts w:ascii="Garamond" w:hAnsi="Garamond" w:cs="Times"/>
          <w:i/>
          <w:iCs/>
        </w:rPr>
        <w:t>iiii</w:t>
      </w:r>
      <w:proofErr w:type="spellEnd"/>
      <w:r w:rsidRPr="003276DB">
        <w:rPr>
          <w:rFonts w:ascii="Garamond" w:hAnsi="Garamond" w:cs="Times"/>
        </w:rPr>
        <w:t>) nessuna anomalia (10%) (</w:t>
      </w:r>
      <w:proofErr w:type="spellStart"/>
      <w:r w:rsidRPr="003276DB">
        <w:rPr>
          <w:rFonts w:ascii="Garamond" w:hAnsi="Garamond" w:cs="Times"/>
        </w:rPr>
        <w:t>Fig</w:t>
      </w:r>
      <w:proofErr w:type="spellEnd"/>
      <w:r w:rsidRPr="003276DB">
        <w:rPr>
          <w:rFonts w:ascii="Garamond" w:hAnsi="Garamond" w:cs="Times"/>
        </w:rPr>
        <w:t xml:space="preserve"> 1A).</w:t>
      </w:r>
    </w:p>
    <w:p w:rsidR="005D54B4" w:rsidRPr="003276DB" w:rsidRDefault="005D54B4">
      <w:pPr>
        <w:widowControl w:val="0"/>
        <w:autoSpaceDE w:val="0"/>
        <w:autoSpaceDN w:val="0"/>
        <w:adjustRightInd w:val="0"/>
        <w:spacing w:after="0" w:line="2" w:lineRule="exact"/>
        <w:rPr>
          <w:rFonts w:ascii="Garamond" w:hAnsi="Garamond"/>
        </w:rPr>
      </w:pPr>
    </w:p>
    <w:p w:rsidR="003276DB" w:rsidRDefault="003276DB">
      <w:pPr>
        <w:widowControl w:val="0"/>
        <w:autoSpaceDE w:val="0"/>
        <w:autoSpaceDN w:val="0"/>
        <w:adjustRightInd w:val="0"/>
        <w:spacing w:after="0" w:line="240" w:lineRule="auto"/>
        <w:rPr>
          <w:rFonts w:ascii="Garamond" w:hAnsi="Garamond" w:cs="Times"/>
          <w:i/>
          <w:iCs/>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i/>
          <w:iCs/>
        </w:rPr>
        <w:t>Analisi immunoistochimica dei gangli e dei neuroni del plesso sottomucoso</w:t>
      </w:r>
    </w:p>
    <w:p w:rsidR="005D54B4" w:rsidRPr="003276DB" w:rsidRDefault="005D54B4">
      <w:pPr>
        <w:widowControl w:val="0"/>
        <w:autoSpaceDE w:val="0"/>
        <w:autoSpaceDN w:val="0"/>
        <w:adjustRightInd w:val="0"/>
        <w:spacing w:after="0" w:line="10" w:lineRule="exact"/>
        <w:rPr>
          <w:rFonts w:ascii="Garamond" w:hAnsi="Garamond"/>
        </w:rPr>
      </w:pPr>
    </w:p>
    <w:p w:rsidR="005D54B4" w:rsidRPr="003276DB" w:rsidRDefault="005D54B4">
      <w:pPr>
        <w:widowControl w:val="0"/>
        <w:overflowPunct w:val="0"/>
        <w:autoSpaceDE w:val="0"/>
        <w:autoSpaceDN w:val="0"/>
        <w:adjustRightInd w:val="0"/>
        <w:spacing w:after="0" w:line="238" w:lineRule="auto"/>
        <w:jc w:val="both"/>
        <w:rPr>
          <w:rFonts w:ascii="Garamond" w:hAnsi="Garamond"/>
        </w:rPr>
      </w:pPr>
      <w:r w:rsidRPr="003276DB">
        <w:rPr>
          <w:rFonts w:ascii="Garamond" w:hAnsi="Garamond" w:cs="Times"/>
        </w:rPr>
        <w:t xml:space="preserve">I campioni della sottomucosa di entrambi i gruppi (MP e controlli) sono stati analizzati con immunoistochimica quantitativa utilizzando due marcatori </w:t>
      </w:r>
      <w:proofErr w:type="spellStart"/>
      <w:r w:rsidRPr="003276DB">
        <w:rPr>
          <w:rFonts w:ascii="Garamond" w:hAnsi="Garamond" w:cs="Times"/>
        </w:rPr>
        <w:t>paneuronali</w:t>
      </w:r>
      <w:proofErr w:type="spellEnd"/>
      <w:r w:rsidRPr="003276DB">
        <w:rPr>
          <w:rFonts w:ascii="Garamond" w:hAnsi="Garamond" w:cs="Times"/>
        </w:rPr>
        <w:t xml:space="preserve">, PGP9.5 e </w:t>
      </w:r>
      <w:proofErr w:type="spellStart"/>
      <w:r w:rsidRPr="003276DB">
        <w:rPr>
          <w:rFonts w:ascii="Garamond" w:hAnsi="Garamond" w:cs="Times"/>
        </w:rPr>
        <w:t>HuC</w:t>
      </w:r>
      <w:proofErr w:type="spellEnd"/>
      <w:r w:rsidRPr="003276DB">
        <w:rPr>
          <w:rFonts w:ascii="Garamond" w:hAnsi="Garamond" w:cs="Times"/>
        </w:rPr>
        <w:t>/D (</w:t>
      </w:r>
      <w:proofErr w:type="spellStart"/>
      <w:r w:rsidRPr="003276DB">
        <w:rPr>
          <w:rFonts w:ascii="Garamond" w:hAnsi="Garamond" w:cs="Times"/>
        </w:rPr>
        <w:t>Fig</w:t>
      </w:r>
      <w:proofErr w:type="spellEnd"/>
      <w:r w:rsidRPr="003276DB">
        <w:rPr>
          <w:rFonts w:ascii="Garamond" w:hAnsi="Garamond" w:cs="Times"/>
        </w:rPr>
        <w:t xml:space="preserve"> 1B). Nei campioni di entrambi i gruppi, sono stati identificati in media 4.5 gangli / biopsia e 20 neuroni / biopsia, in linea con i dati della letteratura (8). Sebbene non vi sia una differenza statisticamente significativa tra il numero medio di neuroni / ganglio nel gruppo stipsi / MP (4.69±0.28) vs. controllo (5.17±0.45) (</w:t>
      </w:r>
      <w:proofErr w:type="spellStart"/>
      <w:r w:rsidRPr="003276DB">
        <w:rPr>
          <w:rFonts w:ascii="Garamond" w:hAnsi="Garamond" w:cs="Times"/>
        </w:rPr>
        <w:t>n.s.</w:t>
      </w:r>
      <w:proofErr w:type="spellEnd"/>
      <w:r w:rsidRPr="003276DB">
        <w:rPr>
          <w:rFonts w:ascii="Garamond" w:hAnsi="Garamond" w:cs="Times"/>
        </w:rPr>
        <w:t>), tuttavia è emersa una tendenza ad una riduzione nel numero di neuroni / ganglio nei pazienti parkinsoniani vs. controlli (</w:t>
      </w:r>
      <w:proofErr w:type="spellStart"/>
      <w:r w:rsidRPr="003276DB">
        <w:rPr>
          <w:rFonts w:ascii="Garamond" w:hAnsi="Garamond" w:cs="Times"/>
        </w:rPr>
        <w:t>Fig</w:t>
      </w:r>
      <w:proofErr w:type="spellEnd"/>
      <w:r w:rsidRPr="003276DB">
        <w:rPr>
          <w:rFonts w:ascii="Garamond" w:hAnsi="Garamond" w:cs="Times"/>
        </w:rPr>
        <w:t xml:space="preserve"> 1C).</w:t>
      </w:r>
    </w:p>
    <w:p w:rsidR="005D54B4" w:rsidRPr="003276DB" w:rsidRDefault="005D54B4">
      <w:pPr>
        <w:widowControl w:val="0"/>
        <w:autoSpaceDE w:val="0"/>
        <w:autoSpaceDN w:val="0"/>
        <w:adjustRightInd w:val="0"/>
        <w:spacing w:after="0" w:line="247" w:lineRule="exact"/>
        <w:rPr>
          <w:rFonts w:ascii="Garamond" w:hAnsi="Garamond"/>
        </w:rPr>
      </w:pPr>
    </w:p>
    <w:p w:rsidR="005D54B4" w:rsidRPr="003276DB" w:rsidRDefault="005D54B4">
      <w:pPr>
        <w:widowControl w:val="0"/>
        <w:overflowPunct w:val="0"/>
        <w:autoSpaceDE w:val="0"/>
        <w:autoSpaceDN w:val="0"/>
        <w:adjustRightInd w:val="0"/>
        <w:spacing w:after="0" w:line="237" w:lineRule="auto"/>
        <w:jc w:val="both"/>
        <w:rPr>
          <w:rFonts w:ascii="Garamond" w:hAnsi="Garamond"/>
        </w:rPr>
      </w:pPr>
      <w:proofErr w:type="spellStart"/>
      <w:r w:rsidRPr="003276DB">
        <w:rPr>
          <w:rFonts w:ascii="Garamond" w:hAnsi="Garamond" w:cs="Times"/>
        </w:rPr>
        <w:t>Fig</w:t>
      </w:r>
      <w:proofErr w:type="spellEnd"/>
      <w:r w:rsidRPr="003276DB">
        <w:rPr>
          <w:rFonts w:ascii="Garamond" w:hAnsi="Garamond" w:cs="Times"/>
        </w:rPr>
        <w:t xml:space="preserve"> 1. A) Caratterizzazione GI dei pazienti con stipsi e MP: nessuna alterazione gastrointestinale (10%, in verde), transito rallentato e disfunzione anorettale (55%, in viola), solo transito intestinale rallentato (15%, in blu) e, infine, sola disfunzione anorettale (20%, in rosso). B) Analisi qualitativa che mostra la </w:t>
      </w:r>
      <w:proofErr w:type="spellStart"/>
      <w:r w:rsidRPr="003276DB">
        <w:rPr>
          <w:rFonts w:ascii="Garamond" w:hAnsi="Garamond" w:cs="Times"/>
        </w:rPr>
        <w:t>colocalizzazione</w:t>
      </w:r>
      <w:proofErr w:type="spellEnd"/>
      <w:r w:rsidRPr="003276DB">
        <w:rPr>
          <w:rFonts w:ascii="Garamond" w:hAnsi="Garamond" w:cs="Times"/>
        </w:rPr>
        <w:t xml:space="preserve"> tra PGP9.5 e </w:t>
      </w:r>
      <w:proofErr w:type="spellStart"/>
      <w:r w:rsidRPr="003276DB">
        <w:rPr>
          <w:rFonts w:ascii="Garamond" w:hAnsi="Garamond" w:cs="Times"/>
        </w:rPr>
        <w:t>HuC</w:t>
      </w:r>
      <w:proofErr w:type="spellEnd"/>
      <w:r w:rsidRPr="003276DB">
        <w:rPr>
          <w:rFonts w:ascii="Garamond" w:hAnsi="Garamond" w:cs="Times"/>
        </w:rPr>
        <w:t>/D nei neuroni della sottomucosa. C) Analisi quantitativa dei gangli della sottomucosa dei pazienti con MP vs. controlli.</w:t>
      </w:r>
    </w:p>
    <w:p w:rsidR="005D54B4" w:rsidRPr="003276DB" w:rsidRDefault="005D54B4">
      <w:pPr>
        <w:widowControl w:val="0"/>
        <w:autoSpaceDE w:val="0"/>
        <w:autoSpaceDN w:val="0"/>
        <w:adjustRightInd w:val="0"/>
        <w:spacing w:after="0" w:line="8" w:lineRule="exact"/>
        <w:rPr>
          <w:rFonts w:ascii="Garamond" w:hAnsi="Garamond"/>
        </w:rPr>
      </w:pPr>
    </w:p>
    <w:p w:rsidR="005D54B4" w:rsidRPr="003276DB" w:rsidRDefault="005D54B4">
      <w:pPr>
        <w:widowControl w:val="0"/>
        <w:tabs>
          <w:tab w:val="left" w:pos="3520"/>
          <w:tab w:val="left" w:pos="7060"/>
        </w:tabs>
        <w:autoSpaceDE w:val="0"/>
        <w:autoSpaceDN w:val="0"/>
        <w:adjustRightInd w:val="0"/>
        <w:spacing w:after="0" w:line="240" w:lineRule="auto"/>
        <w:rPr>
          <w:rFonts w:ascii="Garamond" w:hAnsi="Garamond"/>
        </w:rPr>
      </w:pPr>
      <w:r w:rsidRPr="003276DB">
        <w:rPr>
          <w:rFonts w:ascii="Garamond" w:hAnsi="Garamond" w:cs="Times"/>
          <w:b/>
          <w:bCs/>
        </w:rPr>
        <w:t>A</w:t>
      </w:r>
      <w:r w:rsidRPr="003276DB">
        <w:rPr>
          <w:rFonts w:ascii="Garamond" w:hAnsi="Garamond"/>
        </w:rPr>
        <w:tab/>
      </w:r>
      <w:r w:rsidRPr="003276DB">
        <w:rPr>
          <w:rFonts w:ascii="Garamond" w:hAnsi="Garamond" w:cs="Times"/>
          <w:b/>
          <w:bCs/>
        </w:rPr>
        <w:t>B</w:t>
      </w:r>
      <w:r w:rsidRPr="003276DB">
        <w:rPr>
          <w:rFonts w:ascii="Garamond" w:hAnsi="Garamond"/>
        </w:rPr>
        <w:tab/>
      </w:r>
      <w:r w:rsidRPr="003276DB">
        <w:rPr>
          <w:rFonts w:ascii="Garamond" w:hAnsi="Garamond" w:cs="Times"/>
          <w:b/>
          <w:bCs/>
        </w:rPr>
        <w:t>C</w:t>
      </w:r>
    </w:p>
    <w:p w:rsidR="005D54B4" w:rsidRPr="003276DB" w:rsidRDefault="003276DB">
      <w:pPr>
        <w:widowControl w:val="0"/>
        <w:autoSpaceDE w:val="0"/>
        <w:autoSpaceDN w:val="0"/>
        <w:adjustRightInd w:val="0"/>
        <w:spacing w:after="0" w:line="200" w:lineRule="exact"/>
        <w:rPr>
          <w:rFonts w:ascii="Garamond" w:hAnsi="Garamond"/>
        </w:rPr>
      </w:pPr>
      <w:r w:rsidRPr="003276DB">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9.2pt;width:473.75pt;height:149.65pt;z-index:-251658240" o:allowincell="f">
            <v:imagedata r:id="rId5" o:title=""/>
          </v:shape>
        </w:pict>
      </w: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3276DB" w:rsidRDefault="003276DB">
      <w:pPr>
        <w:widowControl w:val="0"/>
        <w:overflowPunct w:val="0"/>
        <w:autoSpaceDE w:val="0"/>
        <w:autoSpaceDN w:val="0"/>
        <w:adjustRightInd w:val="0"/>
        <w:spacing w:after="0" w:line="237" w:lineRule="auto"/>
        <w:jc w:val="both"/>
        <w:rPr>
          <w:rFonts w:ascii="Garamond" w:hAnsi="Garamond" w:cs="Times"/>
        </w:rPr>
      </w:pPr>
      <w:bookmarkStart w:id="1" w:name="page3"/>
      <w:bookmarkEnd w:id="1"/>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p>
    <w:p w:rsidR="003276DB" w:rsidRDefault="003276DB">
      <w:pPr>
        <w:widowControl w:val="0"/>
        <w:overflowPunct w:val="0"/>
        <w:autoSpaceDE w:val="0"/>
        <w:autoSpaceDN w:val="0"/>
        <w:adjustRightInd w:val="0"/>
        <w:spacing w:after="0" w:line="237" w:lineRule="auto"/>
        <w:jc w:val="both"/>
        <w:rPr>
          <w:rFonts w:ascii="Garamond" w:hAnsi="Garamond" w:cs="Times"/>
        </w:rPr>
      </w:pPr>
      <w:bookmarkStart w:id="2" w:name="_GoBack"/>
      <w:bookmarkEnd w:id="2"/>
    </w:p>
    <w:p w:rsidR="005D54B4" w:rsidRPr="003276DB" w:rsidRDefault="005D54B4">
      <w:pPr>
        <w:widowControl w:val="0"/>
        <w:overflowPunct w:val="0"/>
        <w:autoSpaceDE w:val="0"/>
        <w:autoSpaceDN w:val="0"/>
        <w:adjustRightInd w:val="0"/>
        <w:spacing w:after="0" w:line="237" w:lineRule="auto"/>
        <w:jc w:val="both"/>
        <w:rPr>
          <w:rFonts w:ascii="Garamond" w:hAnsi="Garamond"/>
        </w:rPr>
      </w:pPr>
      <w:r w:rsidRPr="003276DB">
        <w:rPr>
          <w:rFonts w:ascii="Garamond" w:hAnsi="Garamond" w:cs="Times"/>
        </w:rPr>
        <w:t>Sono stati eseguiti anche esperimenti per la valutazione dei neuroni vaso-</w:t>
      </w:r>
      <w:proofErr w:type="spellStart"/>
      <w:r w:rsidRPr="003276DB">
        <w:rPr>
          <w:rFonts w:ascii="Garamond" w:hAnsi="Garamond" w:cs="Times"/>
        </w:rPr>
        <w:t>secretomotori</w:t>
      </w:r>
      <w:proofErr w:type="spellEnd"/>
      <w:r w:rsidRPr="003276DB">
        <w:rPr>
          <w:rFonts w:ascii="Garamond" w:hAnsi="Garamond" w:cs="Times"/>
        </w:rPr>
        <w:t xml:space="preserve"> mediante doppia marcatura con anticorpi anti-</w:t>
      </w:r>
      <w:proofErr w:type="spellStart"/>
      <w:r w:rsidRPr="003276DB">
        <w:rPr>
          <w:rFonts w:ascii="Garamond" w:hAnsi="Garamond" w:cs="Times"/>
        </w:rPr>
        <w:t>HuC</w:t>
      </w:r>
      <w:proofErr w:type="spellEnd"/>
      <w:r w:rsidRPr="003276DB">
        <w:rPr>
          <w:rFonts w:ascii="Garamond" w:hAnsi="Garamond" w:cs="Times"/>
        </w:rPr>
        <w:t>/D e anti-VIP (</w:t>
      </w:r>
      <w:proofErr w:type="spellStart"/>
      <w:r w:rsidRPr="003276DB">
        <w:rPr>
          <w:rFonts w:ascii="Garamond" w:hAnsi="Garamond" w:cs="Times"/>
        </w:rPr>
        <w:t>Fig</w:t>
      </w:r>
      <w:proofErr w:type="spellEnd"/>
      <w:r w:rsidRPr="003276DB">
        <w:rPr>
          <w:rFonts w:ascii="Garamond" w:hAnsi="Garamond" w:cs="Times"/>
        </w:rPr>
        <w:t xml:space="preserve"> 2A). Rispetto al gruppo di controllo (86.51±3.49%), si è dimostrata una significativa diminuzione del numero medio di neuroni VIP immunoreattivi (71.33±5.65%) nel gruppo con stipsi / MP (P= 0.0319) (</w:t>
      </w:r>
      <w:proofErr w:type="spellStart"/>
      <w:r w:rsidRPr="003276DB">
        <w:rPr>
          <w:rFonts w:ascii="Garamond" w:hAnsi="Garamond" w:cs="Times"/>
        </w:rPr>
        <w:t>Fig</w:t>
      </w:r>
      <w:proofErr w:type="spellEnd"/>
      <w:r w:rsidRPr="003276DB">
        <w:rPr>
          <w:rFonts w:ascii="Garamond" w:hAnsi="Garamond" w:cs="Times"/>
        </w:rPr>
        <w:t xml:space="preserve"> 2B).</w:t>
      </w:r>
    </w:p>
    <w:p w:rsidR="005D54B4" w:rsidRPr="003276DB" w:rsidRDefault="005D54B4">
      <w:pPr>
        <w:widowControl w:val="0"/>
        <w:autoSpaceDE w:val="0"/>
        <w:autoSpaceDN w:val="0"/>
        <w:adjustRightInd w:val="0"/>
        <w:spacing w:after="0" w:line="282" w:lineRule="exact"/>
        <w:rPr>
          <w:rFonts w:ascii="Garamond" w:hAnsi="Garamond"/>
        </w:rPr>
      </w:pPr>
    </w:p>
    <w:p w:rsidR="005D54B4" w:rsidRPr="003276DB" w:rsidRDefault="005D54B4">
      <w:pPr>
        <w:widowControl w:val="0"/>
        <w:autoSpaceDE w:val="0"/>
        <w:autoSpaceDN w:val="0"/>
        <w:adjustRightInd w:val="0"/>
        <w:spacing w:after="0" w:line="239" w:lineRule="auto"/>
        <w:rPr>
          <w:rFonts w:ascii="Garamond" w:hAnsi="Garamond"/>
        </w:rPr>
      </w:pPr>
      <w:proofErr w:type="spellStart"/>
      <w:r w:rsidRPr="003276DB">
        <w:rPr>
          <w:rFonts w:ascii="Garamond" w:hAnsi="Garamond" w:cs="Times"/>
        </w:rPr>
        <w:t>Fig</w:t>
      </w:r>
      <w:proofErr w:type="spellEnd"/>
      <w:r w:rsidRPr="003276DB">
        <w:rPr>
          <w:rFonts w:ascii="Garamond" w:hAnsi="Garamond" w:cs="Times"/>
        </w:rPr>
        <w:t xml:space="preserve"> 2. Analisi qualitativa (A) e quantitativa (B) di neuroni VIP/</w:t>
      </w:r>
      <w:proofErr w:type="spellStart"/>
      <w:r w:rsidRPr="003276DB">
        <w:rPr>
          <w:rFonts w:ascii="Garamond" w:hAnsi="Garamond" w:cs="Times"/>
        </w:rPr>
        <w:t>HuC</w:t>
      </w:r>
      <w:proofErr w:type="spellEnd"/>
      <w:r w:rsidRPr="003276DB">
        <w:rPr>
          <w:rFonts w:ascii="Garamond" w:hAnsi="Garamond" w:cs="Times"/>
        </w:rPr>
        <w:t>/D immunoreattivi nei pazienti con MP vs. controlli.</w:t>
      </w:r>
    </w:p>
    <w:p w:rsidR="005D54B4" w:rsidRPr="003276DB" w:rsidRDefault="005D54B4">
      <w:pPr>
        <w:widowControl w:val="0"/>
        <w:autoSpaceDE w:val="0"/>
        <w:autoSpaceDN w:val="0"/>
        <w:adjustRightInd w:val="0"/>
        <w:spacing w:after="0" w:line="42" w:lineRule="exact"/>
        <w:rPr>
          <w:rFonts w:ascii="Garamond" w:hAnsi="Garamond"/>
        </w:rPr>
      </w:pPr>
    </w:p>
    <w:p w:rsidR="005D54B4" w:rsidRPr="003276DB" w:rsidRDefault="005D54B4">
      <w:pPr>
        <w:widowControl w:val="0"/>
        <w:tabs>
          <w:tab w:val="left" w:pos="5940"/>
        </w:tabs>
        <w:autoSpaceDE w:val="0"/>
        <w:autoSpaceDN w:val="0"/>
        <w:adjustRightInd w:val="0"/>
        <w:spacing w:after="0" w:line="240" w:lineRule="auto"/>
        <w:ind w:left="360"/>
        <w:rPr>
          <w:rFonts w:ascii="Garamond" w:hAnsi="Garamond"/>
        </w:rPr>
      </w:pPr>
      <w:r w:rsidRPr="003276DB">
        <w:rPr>
          <w:rFonts w:ascii="Garamond" w:hAnsi="Garamond" w:cs="Times"/>
          <w:b/>
          <w:bCs/>
        </w:rPr>
        <w:t>A</w:t>
      </w:r>
      <w:r w:rsidRPr="003276DB">
        <w:rPr>
          <w:rFonts w:ascii="Garamond" w:hAnsi="Garamond"/>
        </w:rPr>
        <w:tab/>
      </w:r>
      <w:r w:rsidRPr="003276DB">
        <w:rPr>
          <w:rFonts w:ascii="Garamond" w:hAnsi="Garamond" w:cs="Times"/>
          <w:b/>
          <w:bCs/>
        </w:rPr>
        <w:t>B</w:t>
      </w:r>
    </w:p>
    <w:p w:rsidR="005D54B4" w:rsidRPr="003276DB" w:rsidRDefault="003276DB">
      <w:pPr>
        <w:widowControl w:val="0"/>
        <w:autoSpaceDE w:val="0"/>
        <w:autoSpaceDN w:val="0"/>
        <w:adjustRightInd w:val="0"/>
        <w:spacing w:after="0" w:line="200" w:lineRule="exact"/>
        <w:rPr>
          <w:rFonts w:ascii="Garamond" w:hAnsi="Garamond"/>
        </w:rPr>
      </w:pPr>
      <w:r w:rsidRPr="003276DB">
        <w:rPr>
          <w:rFonts w:ascii="Garamond" w:hAnsi="Garamond"/>
          <w:noProof/>
        </w:rPr>
        <w:pict>
          <v:shape id="_x0000_s1027" type="#_x0000_t75" style="position:absolute;margin-left:17.75pt;margin-top:5.8pt;width:458.5pt;height:153.35pt;z-index:-251657216" o:allowincell="f">
            <v:imagedata r:id="rId6" o:title=""/>
          </v:shape>
        </w:pict>
      </w: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322" w:lineRule="exact"/>
        <w:rPr>
          <w:rFonts w:ascii="Garamond" w:hAnsi="Garamond"/>
        </w:rPr>
      </w:pPr>
    </w:p>
    <w:p w:rsidR="005D54B4" w:rsidRPr="003276DB" w:rsidRDefault="005D54B4">
      <w:pPr>
        <w:widowControl w:val="0"/>
        <w:autoSpaceDE w:val="0"/>
        <w:autoSpaceDN w:val="0"/>
        <w:adjustRightInd w:val="0"/>
        <w:spacing w:after="0" w:line="240" w:lineRule="auto"/>
        <w:ind w:left="3180"/>
        <w:rPr>
          <w:rFonts w:ascii="Garamond" w:hAnsi="Garamond"/>
        </w:rPr>
      </w:pPr>
      <w:r w:rsidRPr="003276DB">
        <w:rPr>
          <w:rFonts w:ascii="Garamond" w:hAnsi="Garamond" w:cs="Helvetica"/>
          <w:color w:val="00CC00"/>
        </w:rPr>
        <w:t xml:space="preserve">VIP+ </w:t>
      </w:r>
      <w:r w:rsidRPr="003276DB">
        <w:rPr>
          <w:rFonts w:ascii="Garamond" w:hAnsi="Garamond" w:cs="Helvetica"/>
          <w:color w:val="FFFFFF"/>
        </w:rPr>
        <w:t>/</w:t>
      </w:r>
      <w:r w:rsidRPr="003276DB">
        <w:rPr>
          <w:rFonts w:ascii="Garamond" w:hAnsi="Garamond" w:cs="Helvetica"/>
          <w:color w:val="00CC00"/>
        </w:rPr>
        <w:t xml:space="preserve"> </w:t>
      </w:r>
      <w:proofErr w:type="spellStart"/>
      <w:r w:rsidRPr="003276DB">
        <w:rPr>
          <w:rFonts w:ascii="Garamond" w:hAnsi="Garamond" w:cs="Helvetica"/>
          <w:color w:val="FF0000"/>
        </w:rPr>
        <w:t>HuC</w:t>
      </w:r>
      <w:proofErr w:type="spellEnd"/>
      <w:r w:rsidRPr="003276DB">
        <w:rPr>
          <w:rFonts w:ascii="Garamond" w:hAnsi="Garamond" w:cs="Helvetica"/>
          <w:color w:val="FF0000"/>
        </w:rPr>
        <w:t>/D+</w:t>
      </w:r>
    </w:p>
    <w:p w:rsidR="005D54B4" w:rsidRPr="003276DB" w:rsidRDefault="003276DB">
      <w:pPr>
        <w:widowControl w:val="0"/>
        <w:autoSpaceDE w:val="0"/>
        <w:autoSpaceDN w:val="0"/>
        <w:adjustRightInd w:val="0"/>
        <w:spacing w:after="0" w:line="200" w:lineRule="exact"/>
        <w:rPr>
          <w:rFonts w:ascii="Garamond" w:hAnsi="Garamond"/>
        </w:rPr>
      </w:pPr>
      <w:r w:rsidRPr="003276DB">
        <w:rPr>
          <w:rFonts w:ascii="Garamond" w:hAnsi="Garamond"/>
          <w:noProof/>
        </w:rPr>
        <w:pict>
          <v:shape id="_x0000_s1028" type="#_x0000_t75" style="position:absolute;margin-left:278.5pt;margin-top:-9.6pt;width:197.75pt;height:14.4pt;z-index:-251656192" o:allowincell="f">
            <v:imagedata r:id="rId7" o:title="" chromakey="black"/>
          </v:shape>
        </w:pict>
      </w:r>
      <w:r w:rsidRPr="003276DB">
        <w:rPr>
          <w:rFonts w:ascii="Garamond" w:hAnsi="Garamond"/>
          <w:noProof/>
        </w:rPr>
        <w:pict>
          <v:shape id="_x0000_s1029" type="#_x0000_t75" style="position:absolute;margin-left:278.5pt;margin-top:-9.6pt;width:197.75pt;height:14.4pt;z-index:-251655168" o:allowincell="f">
            <v:imagedata r:id="rId8" o:title="" chromakey="white"/>
          </v:shape>
        </w:pict>
      </w:r>
      <w:r w:rsidRPr="003276DB">
        <w:rPr>
          <w:rFonts w:ascii="Garamond" w:hAnsi="Garamond"/>
          <w:noProof/>
        </w:rPr>
        <w:pict>
          <v:shape id="_x0000_s1030" type="#_x0000_t75" style="position:absolute;margin-left:281.15pt;margin-top:13.4pt;width:192.5pt;height:7.7pt;z-index:-251654144" o:allowincell="f">
            <v:imagedata r:id="rId9" o:title=""/>
          </v:shape>
        </w:pict>
      </w: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36"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i/>
          <w:iCs/>
        </w:rPr>
        <w:t>Valutazione della componente neuronale adrenergica del plesso sottomucoso</w:t>
      </w:r>
    </w:p>
    <w:p w:rsidR="005D54B4" w:rsidRPr="003276DB" w:rsidRDefault="005D54B4">
      <w:pPr>
        <w:widowControl w:val="0"/>
        <w:autoSpaceDE w:val="0"/>
        <w:autoSpaceDN w:val="0"/>
        <w:adjustRightInd w:val="0"/>
        <w:spacing w:after="0" w:line="10" w:lineRule="exact"/>
        <w:rPr>
          <w:rFonts w:ascii="Garamond" w:hAnsi="Garamond"/>
        </w:rPr>
      </w:pPr>
    </w:p>
    <w:p w:rsidR="005D54B4" w:rsidRPr="003276DB" w:rsidRDefault="005D54B4">
      <w:pPr>
        <w:widowControl w:val="0"/>
        <w:overflowPunct w:val="0"/>
        <w:autoSpaceDE w:val="0"/>
        <w:autoSpaceDN w:val="0"/>
        <w:adjustRightInd w:val="0"/>
        <w:spacing w:after="0" w:line="238" w:lineRule="auto"/>
        <w:jc w:val="both"/>
        <w:rPr>
          <w:rFonts w:ascii="Garamond" w:hAnsi="Garamond"/>
        </w:rPr>
      </w:pPr>
      <w:r w:rsidRPr="003276DB">
        <w:rPr>
          <w:rFonts w:ascii="Garamond" w:hAnsi="Garamond" w:cs="Times"/>
        </w:rPr>
        <w:t>Al fine di effettuare una correlazione tra le alterazioni vascolari spesso osservate nei pazienti con MP e anomalie della componente neuronale adrenergica che controlla la vascolarizzazione sottomucosa, abbiamo effettuato esperimenti di immunoistochimica utilizzando anticorpi anti-</w:t>
      </w:r>
      <w:proofErr w:type="spellStart"/>
      <w:r w:rsidRPr="003276DB">
        <w:rPr>
          <w:rFonts w:ascii="Garamond" w:hAnsi="Garamond" w:cs="Times"/>
        </w:rPr>
        <w:t>ChAT</w:t>
      </w:r>
      <w:proofErr w:type="spellEnd"/>
      <w:r w:rsidRPr="003276DB">
        <w:rPr>
          <w:rFonts w:ascii="Garamond" w:hAnsi="Garamond" w:cs="Times"/>
        </w:rPr>
        <w:t xml:space="preserve"> (</w:t>
      </w:r>
      <w:proofErr w:type="spellStart"/>
      <w:r w:rsidRPr="003276DB">
        <w:rPr>
          <w:rFonts w:ascii="Garamond" w:hAnsi="Garamond" w:cs="Times"/>
        </w:rPr>
        <w:t>Fig</w:t>
      </w:r>
      <w:proofErr w:type="spellEnd"/>
      <w:r w:rsidRPr="003276DB">
        <w:rPr>
          <w:rFonts w:ascii="Garamond" w:hAnsi="Garamond" w:cs="Times"/>
        </w:rPr>
        <w:t xml:space="preserve"> 3A) e anti-TH (</w:t>
      </w:r>
      <w:proofErr w:type="spellStart"/>
      <w:r w:rsidRPr="003276DB">
        <w:rPr>
          <w:rFonts w:ascii="Garamond" w:hAnsi="Garamond" w:cs="Times"/>
        </w:rPr>
        <w:t>Fig</w:t>
      </w:r>
      <w:proofErr w:type="spellEnd"/>
      <w:r w:rsidRPr="003276DB">
        <w:rPr>
          <w:rFonts w:ascii="Garamond" w:hAnsi="Garamond" w:cs="Times"/>
        </w:rPr>
        <w:t xml:space="preserve"> 3C). La componente neuronale colinergica (</w:t>
      </w:r>
      <w:proofErr w:type="spellStart"/>
      <w:r w:rsidRPr="003276DB">
        <w:rPr>
          <w:rFonts w:ascii="Garamond" w:hAnsi="Garamond" w:cs="Times"/>
        </w:rPr>
        <w:t>secretomotoneuroni</w:t>
      </w:r>
      <w:proofErr w:type="spellEnd"/>
      <w:r w:rsidRPr="003276DB">
        <w:rPr>
          <w:rFonts w:ascii="Garamond" w:hAnsi="Garamond" w:cs="Times"/>
        </w:rPr>
        <w:t>/</w:t>
      </w:r>
      <w:proofErr w:type="spellStart"/>
      <w:r w:rsidRPr="003276DB">
        <w:rPr>
          <w:rFonts w:ascii="Garamond" w:hAnsi="Garamond" w:cs="Times"/>
        </w:rPr>
        <w:t>vasomotoneuroni</w:t>
      </w:r>
      <w:proofErr w:type="spellEnd"/>
      <w:r w:rsidRPr="003276DB">
        <w:rPr>
          <w:rFonts w:ascii="Garamond" w:hAnsi="Garamond" w:cs="Times"/>
        </w:rPr>
        <w:t xml:space="preserve"> o "IPAN" -</w:t>
      </w:r>
      <w:proofErr w:type="spellStart"/>
      <w:r w:rsidRPr="003276DB">
        <w:rPr>
          <w:rFonts w:ascii="Garamond" w:hAnsi="Garamond" w:cs="Times"/>
        </w:rPr>
        <w:t>intrinsic</w:t>
      </w:r>
      <w:proofErr w:type="spellEnd"/>
      <w:r w:rsidRPr="003276DB">
        <w:rPr>
          <w:rFonts w:ascii="Garamond" w:hAnsi="Garamond" w:cs="Times"/>
        </w:rPr>
        <w:t xml:space="preserve"> </w:t>
      </w:r>
      <w:proofErr w:type="spellStart"/>
      <w:r w:rsidRPr="003276DB">
        <w:rPr>
          <w:rFonts w:ascii="Garamond" w:hAnsi="Garamond" w:cs="Times"/>
        </w:rPr>
        <w:t>primary</w:t>
      </w:r>
      <w:proofErr w:type="spellEnd"/>
      <w:r w:rsidRPr="003276DB">
        <w:rPr>
          <w:rFonts w:ascii="Garamond" w:hAnsi="Garamond" w:cs="Times"/>
        </w:rPr>
        <w:t xml:space="preserve"> </w:t>
      </w:r>
      <w:proofErr w:type="spellStart"/>
      <w:r w:rsidRPr="003276DB">
        <w:rPr>
          <w:rFonts w:ascii="Garamond" w:hAnsi="Garamond" w:cs="Times"/>
        </w:rPr>
        <w:t>afferent</w:t>
      </w:r>
      <w:proofErr w:type="spellEnd"/>
      <w:r w:rsidRPr="003276DB">
        <w:rPr>
          <w:rFonts w:ascii="Garamond" w:hAnsi="Garamond" w:cs="Times"/>
        </w:rPr>
        <w:t xml:space="preserve"> </w:t>
      </w:r>
      <w:proofErr w:type="spellStart"/>
      <w:r w:rsidRPr="003276DB">
        <w:rPr>
          <w:rFonts w:ascii="Garamond" w:hAnsi="Garamond" w:cs="Times"/>
        </w:rPr>
        <w:t>neurons</w:t>
      </w:r>
      <w:proofErr w:type="spellEnd"/>
      <w:r w:rsidRPr="003276DB">
        <w:rPr>
          <w:rFonts w:ascii="Garamond" w:hAnsi="Garamond" w:cs="Times"/>
        </w:rPr>
        <w:t>) non ha mostrato differenze tra i due gruppi (86.08±3.05% vs 90.48±3.24%) (</w:t>
      </w:r>
      <w:proofErr w:type="spellStart"/>
      <w:r w:rsidRPr="003276DB">
        <w:rPr>
          <w:rFonts w:ascii="Garamond" w:hAnsi="Garamond" w:cs="Times"/>
        </w:rPr>
        <w:t>Fig</w:t>
      </w:r>
      <w:proofErr w:type="spellEnd"/>
      <w:r w:rsidRPr="003276DB">
        <w:rPr>
          <w:rFonts w:ascii="Garamond" w:hAnsi="Garamond" w:cs="Times"/>
        </w:rPr>
        <w:t xml:space="preserve"> 3B). Tuttavia, l'innervazione adrenergica (fibre TH positive) ha messo in evidenza un pattern di distribuzione </w:t>
      </w:r>
      <w:proofErr w:type="spellStart"/>
      <w:r w:rsidRPr="003276DB">
        <w:rPr>
          <w:rFonts w:ascii="Garamond" w:hAnsi="Garamond" w:cs="Times"/>
        </w:rPr>
        <w:t>perivascolare</w:t>
      </w:r>
      <w:proofErr w:type="spellEnd"/>
      <w:r w:rsidRPr="003276DB">
        <w:rPr>
          <w:rFonts w:ascii="Garamond" w:hAnsi="Garamond" w:cs="Times"/>
        </w:rPr>
        <w:t xml:space="preserve"> alterato nei pazienti con MP.</w:t>
      </w:r>
    </w:p>
    <w:p w:rsidR="005D54B4" w:rsidRPr="003276DB" w:rsidRDefault="005D54B4">
      <w:pPr>
        <w:widowControl w:val="0"/>
        <w:autoSpaceDE w:val="0"/>
        <w:autoSpaceDN w:val="0"/>
        <w:adjustRightInd w:val="0"/>
        <w:spacing w:after="0" w:line="297" w:lineRule="exact"/>
        <w:rPr>
          <w:rFonts w:ascii="Garamond" w:hAnsi="Garamond"/>
        </w:rPr>
      </w:pPr>
    </w:p>
    <w:p w:rsidR="005D54B4" w:rsidRPr="003276DB" w:rsidRDefault="005D54B4">
      <w:pPr>
        <w:widowControl w:val="0"/>
        <w:overflowPunct w:val="0"/>
        <w:autoSpaceDE w:val="0"/>
        <w:autoSpaceDN w:val="0"/>
        <w:adjustRightInd w:val="0"/>
        <w:spacing w:after="0" w:line="265" w:lineRule="auto"/>
        <w:jc w:val="both"/>
        <w:rPr>
          <w:rFonts w:ascii="Garamond" w:hAnsi="Garamond"/>
        </w:rPr>
      </w:pPr>
      <w:proofErr w:type="spellStart"/>
      <w:r w:rsidRPr="003276DB">
        <w:rPr>
          <w:rFonts w:ascii="Garamond" w:hAnsi="Garamond" w:cs="Times"/>
        </w:rPr>
        <w:t>Fig</w:t>
      </w:r>
      <w:proofErr w:type="spellEnd"/>
      <w:r w:rsidRPr="003276DB">
        <w:rPr>
          <w:rFonts w:ascii="Garamond" w:hAnsi="Garamond" w:cs="Times"/>
        </w:rPr>
        <w:t xml:space="preserve"> 3. Analisi qualitativa (A) e quantitativa (B) di neuroni </w:t>
      </w:r>
      <w:proofErr w:type="spellStart"/>
      <w:r w:rsidRPr="003276DB">
        <w:rPr>
          <w:rFonts w:ascii="Garamond" w:hAnsi="Garamond" w:cs="Times"/>
        </w:rPr>
        <w:t>ChAT</w:t>
      </w:r>
      <w:proofErr w:type="spellEnd"/>
      <w:r w:rsidRPr="003276DB">
        <w:rPr>
          <w:rFonts w:ascii="Garamond" w:hAnsi="Garamond" w:cs="Times"/>
        </w:rPr>
        <w:t>/</w:t>
      </w:r>
      <w:proofErr w:type="spellStart"/>
      <w:r w:rsidRPr="003276DB">
        <w:rPr>
          <w:rFonts w:ascii="Garamond" w:hAnsi="Garamond" w:cs="Times"/>
        </w:rPr>
        <w:t>HuC</w:t>
      </w:r>
      <w:proofErr w:type="spellEnd"/>
      <w:r w:rsidRPr="003276DB">
        <w:rPr>
          <w:rFonts w:ascii="Garamond" w:hAnsi="Garamond" w:cs="Times"/>
        </w:rPr>
        <w:t>/D immunoreattivi nei pazienti con MP vs. controlli; Fibre TH immunoreattivi che innervano un vaso sottomucoso (C).</w:t>
      </w:r>
    </w:p>
    <w:p w:rsidR="005D54B4" w:rsidRPr="003276DB" w:rsidRDefault="005D54B4">
      <w:pPr>
        <w:widowControl w:val="0"/>
        <w:autoSpaceDE w:val="0"/>
        <w:autoSpaceDN w:val="0"/>
        <w:adjustRightInd w:val="0"/>
        <w:spacing w:after="0" w:line="15" w:lineRule="exact"/>
        <w:rPr>
          <w:rFonts w:ascii="Garamond" w:hAnsi="Garamond"/>
        </w:rPr>
      </w:pPr>
    </w:p>
    <w:p w:rsidR="005D54B4" w:rsidRPr="003276DB" w:rsidRDefault="005D54B4">
      <w:pPr>
        <w:widowControl w:val="0"/>
        <w:tabs>
          <w:tab w:val="left" w:pos="3640"/>
          <w:tab w:val="left" w:pos="6580"/>
        </w:tabs>
        <w:autoSpaceDE w:val="0"/>
        <w:autoSpaceDN w:val="0"/>
        <w:adjustRightInd w:val="0"/>
        <w:spacing w:after="0" w:line="240" w:lineRule="auto"/>
        <w:ind w:left="240"/>
        <w:rPr>
          <w:rFonts w:ascii="Garamond" w:hAnsi="Garamond"/>
        </w:rPr>
      </w:pPr>
      <w:r w:rsidRPr="003276DB">
        <w:rPr>
          <w:rFonts w:ascii="Garamond" w:hAnsi="Garamond" w:cs="Times"/>
          <w:b/>
          <w:bCs/>
        </w:rPr>
        <w:t>A</w:t>
      </w:r>
      <w:r w:rsidRPr="003276DB">
        <w:rPr>
          <w:rFonts w:ascii="Garamond" w:hAnsi="Garamond"/>
        </w:rPr>
        <w:tab/>
      </w:r>
      <w:r w:rsidRPr="003276DB">
        <w:rPr>
          <w:rFonts w:ascii="Garamond" w:hAnsi="Garamond" w:cs="Times"/>
          <w:b/>
          <w:bCs/>
        </w:rPr>
        <w:t>B</w:t>
      </w:r>
      <w:r w:rsidRPr="003276DB">
        <w:rPr>
          <w:rFonts w:ascii="Garamond" w:hAnsi="Garamond"/>
        </w:rPr>
        <w:tab/>
      </w:r>
      <w:r w:rsidRPr="003276DB">
        <w:rPr>
          <w:rFonts w:ascii="Garamond" w:hAnsi="Garamond" w:cs="Times"/>
          <w:b/>
          <w:bCs/>
        </w:rPr>
        <w:t>C</w:t>
      </w:r>
    </w:p>
    <w:p w:rsidR="005D54B4" w:rsidRPr="003276DB" w:rsidRDefault="003276DB">
      <w:pPr>
        <w:widowControl w:val="0"/>
        <w:autoSpaceDE w:val="0"/>
        <w:autoSpaceDN w:val="0"/>
        <w:adjustRightInd w:val="0"/>
        <w:spacing w:after="0" w:line="200" w:lineRule="exact"/>
        <w:rPr>
          <w:rFonts w:ascii="Garamond" w:hAnsi="Garamond"/>
        </w:rPr>
      </w:pPr>
      <w:r w:rsidRPr="003276DB">
        <w:rPr>
          <w:rFonts w:ascii="Garamond" w:hAnsi="Garamond"/>
          <w:noProof/>
        </w:rPr>
        <w:pict>
          <v:shape id="_x0000_s1031" type="#_x0000_t75" style="position:absolute;margin-left:9.25pt;margin-top:12.05pt;width:475.2pt;height:126.7pt;z-index:-251653120" o:allowincell="f">
            <v:imagedata r:id="rId10" o:title=""/>
          </v:shape>
        </w:pict>
      </w:r>
    </w:p>
    <w:p w:rsidR="005D54B4" w:rsidRPr="003276DB" w:rsidRDefault="005D54B4">
      <w:pPr>
        <w:widowControl w:val="0"/>
        <w:autoSpaceDE w:val="0"/>
        <w:autoSpaceDN w:val="0"/>
        <w:adjustRightInd w:val="0"/>
        <w:spacing w:after="0" w:line="267" w:lineRule="exact"/>
        <w:rPr>
          <w:rFonts w:ascii="Garamond" w:hAnsi="Garamond"/>
        </w:rPr>
      </w:pPr>
    </w:p>
    <w:p w:rsidR="005D54B4" w:rsidRPr="003276DB" w:rsidRDefault="005D54B4">
      <w:pPr>
        <w:widowControl w:val="0"/>
        <w:autoSpaceDE w:val="0"/>
        <w:autoSpaceDN w:val="0"/>
        <w:adjustRightInd w:val="0"/>
        <w:spacing w:after="0" w:line="239" w:lineRule="auto"/>
        <w:ind w:left="6640"/>
        <w:rPr>
          <w:rFonts w:ascii="Garamond" w:hAnsi="Garamond"/>
        </w:rPr>
      </w:pPr>
      <w:r w:rsidRPr="003276DB">
        <w:rPr>
          <w:rFonts w:ascii="Garamond" w:hAnsi="Garamond" w:cs="Calibri"/>
          <w:color w:val="FFFFFF"/>
        </w:rPr>
        <w:t>TH-IR</w:t>
      </w:r>
    </w:p>
    <w:p w:rsidR="005D54B4" w:rsidRPr="003276DB" w:rsidRDefault="003276DB">
      <w:pPr>
        <w:widowControl w:val="0"/>
        <w:autoSpaceDE w:val="0"/>
        <w:autoSpaceDN w:val="0"/>
        <w:adjustRightInd w:val="0"/>
        <w:spacing w:after="0" w:line="200" w:lineRule="exact"/>
        <w:rPr>
          <w:rFonts w:ascii="Garamond" w:hAnsi="Garamond"/>
        </w:rPr>
      </w:pPr>
      <w:r w:rsidRPr="003276DB">
        <w:rPr>
          <w:rFonts w:ascii="Garamond" w:hAnsi="Garamond"/>
          <w:noProof/>
        </w:rPr>
        <w:pict>
          <v:shape id="_x0000_s1032" type="#_x0000_t75" style="position:absolute;margin-left:9.25pt;margin-top:-5.55pt;width:309.25pt;height:110.65pt;z-index:-251652096" o:allowincell="f">
            <v:imagedata r:id="rId11" o:title="" chromakey="black"/>
          </v:shape>
        </w:pict>
      </w:r>
      <w:r w:rsidRPr="003276DB">
        <w:rPr>
          <w:rFonts w:ascii="Garamond" w:hAnsi="Garamond"/>
          <w:noProof/>
        </w:rPr>
        <w:pict>
          <v:shape id="_x0000_s1033" type="#_x0000_t75" style="position:absolute;margin-left:9.25pt;margin-top:-5.55pt;width:309.25pt;height:110.65pt;z-index:-251651072" o:allowincell="f">
            <v:imagedata r:id="rId12" o:title="" chromakey="white"/>
          </v:shape>
        </w:pict>
      </w: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335"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i/>
          <w:iCs/>
        </w:rPr>
        <w:t>Correlazioni cliniche</w:t>
      </w:r>
    </w:p>
    <w:p w:rsidR="005D54B4" w:rsidRPr="003276DB" w:rsidRDefault="005D54B4">
      <w:pPr>
        <w:widowControl w:val="0"/>
        <w:autoSpaceDE w:val="0"/>
        <w:autoSpaceDN w:val="0"/>
        <w:adjustRightInd w:val="0"/>
        <w:spacing w:after="0" w:line="10" w:lineRule="exact"/>
        <w:rPr>
          <w:rFonts w:ascii="Garamond" w:hAnsi="Garamond"/>
        </w:rPr>
      </w:pPr>
    </w:p>
    <w:p w:rsidR="005D54B4" w:rsidRPr="003276DB" w:rsidRDefault="005D54B4">
      <w:pPr>
        <w:widowControl w:val="0"/>
        <w:overflowPunct w:val="0"/>
        <w:autoSpaceDE w:val="0"/>
        <w:autoSpaceDN w:val="0"/>
        <w:adjustRightInd w:val="0"/>
        <w:spacing w:after="0" w:line="238" w:lineRule="auto"/>
        <w:jc w:val="both"/>
        <w:rPr>
          <w:rFonts w:ascii="Garamond" w:hAnsi="Garamond"/>
        </w:rPr>
      </w:pPr>
      <w:r w:rsidRPr="003276DB">
        <w:rPr>
          <w:rFonts w:ascii="Garamond" w:hAnsi="Garamond" w:cs="Times"/>
        </w:rPr>
        <w:t>Le alterazioni funzionali riscontrate nei pazienti con MP e i dati delle conte neuronali non sono correlate al sesso e</w:t>
      </w:r>
      <w:r w:rsidR="003276DB">
        <w:rPr>
          <w:rFonts w:ascii="Garamond" w:hAnsi="Garamond" w:cs="Times"/>
        </w:rPr>
        <w:t xml:space="preserve"> all’età (avanzata) dei pazient</w:t>
      </w:r>
      <w:r w:rsidRPr="003276DB">
        <w:rPr>
          <w:rFonts w:ascii="Garamond" w:hAnsi="Garamond" w:cs="Times"/>
        </w:rPr>
        <w:t xml:space="preserve">i con stipsi e MP e dei controlli. Inoltre, il calo del numero di neuroni </w:t>
      </w:r>
      <w:proofErr w:type="spellStart"/>
      <w:r w:rsidRPr="003276DB">
        <w:rPr>
          <w:rFonts w:ascii="Garamond" w:hAnsi="Garamond" w:cs="Times"/>
        </w:rPr>
        <w:t>vipergici</w:t>
      </w:r>
      <w:proofErr w:type="spellEnd"/>
      <w:r w:rsidRPr="003276DB">
        <w:rPr>
          <w:rFonts w:ascii="Garamond" w:hAnsi="Garamond" w:cs="Times"/>
        </w:rPr>
        <w:t>, riscontrato nei pazienti stitici / MP rispetto ai controlli, non risulta a sua volta essere correlato con i test funzionali (tempi di transito, TT e manometria, MA) (</w:t>
      </w:r>
      <w:proofErr w:type="spellStart"/>
      <w:r w:rsidRPr="003276DB">
        <w:rPr>
          <w:rFonts w:ascii="Garamond" w:hAnsi="Garamond" w:cs="Times"/>
        </w:rPr>
        <w:t>Fig</w:t>
      </w:r>
      <w:proofErr w:type="spellEnd"/>
      <w:r w:rsidRPr="003276DB">
        <w:rPr>
          <w:rFonts w:ascii="Garamond" w:hAnsi="Garamond" w:cs="Times"/>
        </w:rPr>
        <w:t xml:space="preserve"> 4 A-F).</w:t>
      </w:r>
    </w:p>
    <w:p w:rsidR="003276DB" w:rsidRDefault="003276DB">
      <w:pPr>
        <w:widowControl w:val="0"/>
        <w:overflowPunct w:val="0"/>
        <w:autoSpaceDE w:val="0"/>
        <w:autoSpaceDN w:val="0"/>
        <w:adjustRightInd w:val="0"/>
        <w:spacing w:after="0" w:line="236" w:lineRule="auto"/>
        <w:ind w:right="40"/>
        <w:jc w:val="both"/>
        <w:rPr>
          <w:rFonts w:ascii="Garamond" w:hAnsi="Garamond" w:cs="Times"/>
        </w:rPr>
      </w:pPr>
    </w:p>
    <w:p w:rsidR="003276DB" w:rsidRDefault="003276DB">
      <w:pPr>
        <w:widowControl w:val="0"/>
        <w:overflowPunct w:val="0"/>
        <w:autoSpaceDE w:val="0"/>
        <w:autoSpaceDN w:val="0"/>
        <w:adjustRightInd w:val="0"/>
        <w:spacing w:after="0" w:line="236" w:lineRule="auto"/>
        <w:ind w:right="40"/>
        <w:jc w:val="both"/>
        <w:rPr>
          <w:rFonts w:ascii="Garamond" w:hAnsi="Garamond" w:cs="Times"/>
        </w:rPr>
      </w:pPr>
    </w:p>
    <w:p w:rsidR="003276DB" w:rsidRDefault="003276DB">
      <w:pPr>
        <w:widowControl w:val="0"/>
        <w:overflowPunct w:val="0"/>
        <w:autoSpaceDE w:val="0"/>
        <w:autoSpaceDN w:val="0"/>
        <w:adjustRightInd w:val="0"/>
        <w:spacing w:after="0" w:line="236" w:lineRule="auto"/>
        <w:ind w:right="40"/>
        <w:jc w:val="both"/>
        <w:rPr>
          <w:rFonts w:ascii="Garamond" w:hAnsi="Garamond" w:cs="Times"/>
        </w:rPr>
      </w:pPr>
    </w:p>
    <w:p w:rsidR="003276DB" w:rsidRDefault="003276DB">
      <w:pPr>
        <w:widowControl w:val="0"/>
        <w:overflowPunct w:val="0"/>
        <w:autoSpaceDE w:val="0"/>
        <w:autoSpaceDN w:val="0"/>
        <w:adjustRightInd w:val="0"/>
        <w:spacing w:after="0" w:line="236" w:lineRule="auto"/>
        <w:ind w:right="40"/>
        <w:jc w:val="both"/>
        <w:rPr>
          <w:rFonts w:ascii="Garamond" w:hAnsi="Garamond" w:cs="Times"/>
        </w:rPr>
      </w:pPr>
    </w:p>
    <w:p w:rsidR="003276DB" w:rsidRDefault="003276DB">
      <w:pPr>
        <w:widowControl w:val="0"/>
        <w:overflowPunct w:val="0"/>
        <w:autoSpaceDE w:val="0"/>
        <w:autoSpaceDN w:val="0"/>
        <w:adjustRightInd w:val="0"/>
        <w:spacing w:after="0" w:line="236" w:lineRule="auto"/>
        <w:ind w:right="40"/>
        <w:jc w:val="both"/>
        <w:rPr>
          <w:rFonts w:ascii="Garamond" w:hAnsi="Garamond" w:cs="Times"/>
        </w:rPr>
      </w:pPr>
    </w:p>
    <w:p w:rsidR="003276DB" w:rsidRDefault="003276DB">
      <w:pPr>
        <w:widowControl w:val="0"/>
        <w:overflowPunct w:val="0"/>
        <w:autoSpaceDE w:val="0"/>
        <w:autoSpaceDN w:val="0"/>
        <w:adjustRightInd w:val="0"/>
        <w:spacing w:after="0" w:line="236" w:lineRule="auto"/>
        <w:ind w:right="40"/>
        <w:jc w:val="both"/>
        <w:rPr>
          <w:rFonts w:ascii="Garamond" w:hAnsi="Garamond" w:cs="Times"/>
        </w:rPr>
      </w:pPr>
    </w:p>
    <w:p w:rsidR="005D54B4" w:rsidRPr="003276DB" w:rsidRDefault="005D54B4">
      <w:pPr>
        <w:widowControl w:val="0"/>
        <w:overflowPunct w:val="0"/>
        <w:autoSpaceDE w:val="0"/>
        <w:autoSpaceDN w:val="0"/>
        <w:adjustRightInd w:val="0"/>
        <w:spacing w:after="0" w:line="236" w:lineRule="auto"/>
        <w:ind w:right="40"/>
        <w:jc w:val="both"/>
        <w:rPr>
          <w:rFonts w:ascii="Garamond" w:hAnsi="Garamond"/>
        </w:rPr>
      </w:pPr>
      <w:proofErr w:type="spellStart"/>
      <w:r w:rsidRPr="003276DB">
        <w:rPr>
          <w:rFonts w:ascii="Garamond" w:hAnsi="Garamond" w:cs="Times"/>
        </w:rPr>
        <w:t>Fig</w:t>
      </w:r>
      <w:proofErr w:type="spellEnd"/>
      <w:r w:rsidRPr="003276DB">
        <w:rPr>
          <w:rFonts w:ascii="Garamond" w:hAnsi="Garamond" w:cs="Times"/>
        </w:rPr>
        <w:t xml:space="preserve"> 4. Analisi di correlazione mediante test di </w:t>
      </w:r>
      <w:proofErr w:type="spellStart"/>
      <w:r w:rsidRPr="003276DB">
        <w:rPr>
          <w:rFonts w:ascii="Garamond" w:hAnsi="Garamond" w:cs="Times"/>
        </w:rPr>
        <w:t>Spearmann</w:t>
      </w:r>
      <w:proofErr w:type="spellEnd"/>
      <w:r w:rsidRPr="003276DB">
        <w:rPr>
          <w:rFonts w:ascii="Garamond" w:hAnsi="Garamond" w:cs="Times"/>
        </w:rPr>
        <w:t>. Età vs Neuro</w:t>
      </w:r>
      <w:r w:rsidR="003276DB">
        <w:rPr>
          <w:rFonts w:ascii="Garamond" w:hAnsi="Garamond" w:cs="Times"/>
        </w:rPr>
        <w:t>ni/ganglio (A); Età vs % neuron</w:t>
      </w:r>
      <w:r w:rsidRPr="003276DB">
        <w:rPr>
          <w:rFonts w:ascii="Garamond" w:hAnsi="Garamond" w:cs="Times"/>
        </w:rPr>
        <w:t xml:space="preserve">i </w:t>
      </w:r>
      <w:proofErr w:type="spellStart"/>
      <w:r w:rsidRPr="003276DB">
        <w:rPr>
          <w:rFonts w:ascii="Garamond" w:hAnsi="Garamond" w:cs="Times"/>
        </w:rPr>
        <w:t>ChAT</w:t>
      </w:r>
      <w:proofErr w:type="spellEnd"/>
      <w:r w:rsidRPr="003276DB">
        <w:rPr>
          <w:rFonts w:ascii="Garamond" w:hAnsi="Garamond" w:cs="Times"/>
        </w:rPr>
        <w:t>-immunoreattivi (IR)/</w:t>
      </w:r>
      <w:proofErr w:type="spellStart"/>
      <w:r w:rsidR="003276DB">
        <w:rPr>
          <w:rFonts w:ascii="Garamond" w:hAnsi="Garamond" w:cs="Times"/>
        </w:rPr>
        <w:t>HuC</w:t>
      </w:r>
      <w:proofErr w:type="spellEnd"/>
      <w:r w:rsidR="003276DB">
        <w:rPr>
          <w:rFonts w:ascii="Garamond" w:hAnsi="Garamond" w:cs="Times"/>
        </w:rPr>
        <w:t>/D-(IR) (B); Età vs % neuron</w:t>
      </w:r>
      <w:r w:rsidRPr="003276DB">
        <w:rPr>
          <w:rFonts w:ascii="Garamond" w:hAnsi="Garamond" w:cs="Times"/>
        </w:rPr>
        <w:t>i VIP-IR/</w:t>
      </w:r>
      <w:proofErr w:type="spellStart"/>
      <w:r w:rsidRPr="003276DB">
        <w:rPr>
          <w:rFonts w:ascii="Garamond" w:hAnsi="Garamond" w:cs="Times"/>
        </w:rPr>
        <w:t>HuC</w:t>
      </w:r>
      <w:proofErr w:type="spellEnd"/>
      <w:r w:rsidRPr="003276DB">
        <w:rPr>
          <w:rFonts w:ascii="Garamond" w:hAnsi="Garamond" w:cs="Times"/>
        </w:rPr>
        <w:t>/D-IR (C); TT vs Età (D); TT vs Neuroni /ganglio (E); TT % neuroni VIP-IR/</w:t>
      </w:r>
      <w:proofErr w:type="spellStart"/>
      <w:r w:rsidRPr="003276DB">
        <w:rPr>
          <w:rFonts w:ascii="Garamond" w:hAnsi="Garamond" w:cs="Times"/>
        </w:rPr>
        <w:t>HuC</w:t>
      </w:r>
      <w:proofErr w:type="spellEnd"/>
      <w:r w:rsidRPr="003276DB">
        <w:rPr>
          <w:rFonts w:ascii="Garamond" w:hAnsi="Garamond" w:cs="Times"/>
        </w:rPr>
        <w:t>/D-IR (F).</w:t>
      </w:r>
    </w:p>
    <w:p w:rsidR="005D54B4" w:rsidRPr="003276DB" w:rsidRDefault="003276DB">
      <w:pPr>
        <w:widowControl w:val="0"/>
        <w:autoSpaceDE w:val="0"/>
        <w:autoSpaceDN w:val="0"/>
        <w:adjustRightInd w:val="0"/>
        <w:spacing w:after="0" w:line="200" w:lineRule="exact"/>
        <w:rPr>
          <w:rFonts w:ascii="Garamond" w:hAnsi="Garamond"/>
        </w:rPr>
      </w:pPr>
      <w:r w:rsidRPr="003276DB">
        <w:rPr>
          <w:rFonts w:ascii="Garamond" w:hAnsi="Garamond"/>
          <w:noProof/>
        </w:rPr>
        <w:pict>
          <v:shape id="_x0000_s1034" type="#_x0000_t75" style="position:absolute;margin-left:11.75pt;margin-top:20.35pt;width:318.6pt;height:9.7pt;z-index:-251650048" o:allowincell="f">
            <v:imagedata r:id="rId13" o:title=""/>
          </v:shape>
        </w:pict>
      </w:r>
      <w:r w:rsidRPr="003276DB">
        <w:rPr>
          <w:rFonts w:ascii="Garamond" w:hAnsi="Garamond"/>
          <w:noProof/>
        </w:rPr>
        <w:pict>
          <v:shape id="_x0000_s1035" type="#_x0000_t75" style="position:absolute;margin-left:.6pt;margin-top:32.6pt;width:480.6pt;height:.35pt;z-index:-251649024" o:allowincell="f">
            <v:imagedata r:id="rId14" o:title=""/>
          </v:shape>
        </w:pict>
      </w:r>
      <w:r w:rsidRPr="003276DB">
        <w:rPr>
          <w:rFonts w:ascii="Garamond" w:hAnsi="Garamond"/>
          <w:noProof/>
        </w:rPr>
        <w:pict>
          <v:shape id="_x0000_s1036" type="#_x0000_t75" style="position:absolute;margin-left:.6pt;margin-top:37.6pt;width:480.6pt;height:7.55pt;z-index:-251648000" o:allowincell="f">
            <v:imagedata r:id="rId15" o:title=""/>
          </v:shape>
        </w:pict>
      </w:r>
      <w:r w:rsidRPr="003276DB">
        <w:rPr>
          <w:rFonts w:ascii="Garamond" w:hAnsi="Garamond"/>
          <w:noProof/>
        </w:rPr>
        <w:pict>
          <v:shape id="_x0000_s1037" type="#_x0000_t75" style="position:absolute;margin-left:.6pt;margin-top:48.4pt;width:480.6pt;height:78.5pt;z-index:-251646976" o:allowincell="f">
            <v:imagedata r:id="rId16" o:title=""/>
          </v:shape>
        </w:pict>
      </w:r>
      <w:r w:rsidRPr="003276DB">
        <w:rPr>
          <w:rFonts w:ascii="Garamond" w:hAnsi="Garamond"/>
          <w:noProof/>
        </w:rPr>
        <w:pict>
          <v:shape id="_x0000_s1038" type="#_x0000_t75" style="position:absolute;margin-left:12.85pt;margin-top:139.5pt;width:315.7pt;height:9.7pt;z-index:-251645952" o:allowincell="f">
            <v:imagedata r:id="rId17" o:title=""/>
          </v:shape>
        </w:pict>
      </w:r>
      <w:r w:rsidRPr="003276DB">
        <w:rPr>
          <w:rFonts w:ascii="Garamond" w:hAnsi="Garamond"/>
          <w:noProof/>
        </w:rPr>
        <w:pict>
          <v:shape id="_x0000_s1039" type="#_x0000_t75" style="position:absolute;margin-left:1.7pt;margin-top:156.4pt;width:477pt;height:91.45pt;z-index:-251644928" o:allowincell="f">
            <v:imagedata r:id="rId18" o:title=""/>
          </v:shape>
        </w:pict>
      </w: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200" w:lineRule="exact"/>
        <w:rPr>
          <w:rFonts w:ascii="Garamond" w:hAnsi="Garamond"/>
        </w:rPr>
      </w:pPr>
    </w:p>
    <w:p w:rsidR="005D54B4" w:rsidRPr="003276DB" w:rsidRDefault="005D54B4">
      <w:pPr>
        <w:widowControl w:val="0"/>
        <w:autoSpaceDE w:val="0"/>
        <w:autoSpaceDN w:val="0"/>
        <w:adjustRightInd w:val="0"/>
        <w:spacing w:after="0" w:line="340" w:lineRule="exact"/>
        <w:rPr>
          <w:rFonts w:ascii="Garamond" w:hAnsi="Garamond"/>
        </w:rPr>
      </w:pPr>
    </w:p>
    <w:p w:rsidR="005D54B4" w:rsidRPr="003276DB" w:rsidRDefault="005D54B4">
      <w:pPr>
        <w:widowControl w:val="0"/>
        <w:autoSpaceDE w:val="0"/>
        <w:autoSpaceDN w:val="0"/>
        <w:adjustRightInd w:val="0"/>
        <w:spacing w:after="0" w:line="240" w:lineRule="auto"/>
        <w:rPr>
          <w:rFonts w:ascii="Garamond" w:hAnsi="Garamond"/>
        </w:rPr>
      </w:pPr>
      <w:r w:rsidRPr="003276DB">
        <w:rPr>
          <w:rFonts w:ascii="Garamond" w:hAnsi="Garamond" w:cs="Times"/>
          <w:b/>
          <w:bCs/>
        </w:rPr>
        <w:t>Conclusioni</w:t>
      </w:r>
    </w:p>
    <w:p w:rsidR="003276DB" w:rsidRDefault="003276DB">
      <w:pPr>
        <w:widowControl w:val="0"/>
        <w:overflowPunct w:val="0"/>
        <w:autoSpaceDE w:val="0"/>
        <w:autoSpaceDN w:val="0"/>
        <w:adjustRightInd w:val="0"/>
        <w:spacing w:after="0" w:line="239" w:lineRule="auto"/>
        <w:jc w:val="both"/>
        <w:rPr>
          <w:rFonts w:ascii="Garamond" w:hAnsi="Garamond" w:cs="Times"/>
        </w:rPr>
      </w:pPr>
    </w:p>
    <w:p w:rsidR="005D54B4" w:rsidRPr="003276DB" w:rsidRDefault="005D54B4" w:rsidP="003276DB">
      <w:pPr>
        <w:widowControl w:val="0"/>
        <w:overflowPunct w:val="0"/>
        <w:autoSpaceDE w:val="0"/>
        <w:autoSpaceDN w:val="0"/>
        <w:adjustRightInd w:val="0"/>
        <w:spacing w:after="0" w:line="239" w:lineRule="auto"/>
        <w:jc w:val="both"/>
        <w:rPr>
          <w:rFonts w:ascii="Garamond" w:hAnsi="Garamond"/>
        </w:rPr>
      </w:pPr>
      <w:r w:rsidRPr="003276DB">
        <w:rPr>
          <w:rFonts w:ascii="Garamond" w:hAnsi="Garamond" w:cs="Times"/>
        </w:rPr>
        <w:t>I risultati di questo studio hanno dimostrato che la maggior parte (</w:t>
      </w:r>
      <w:r w:rsidRPr="003276DB">
        <w:rPr>
          <w:rFonts w:ascii="Garamond" w:hAnsi="Garamond" w:cs="Times"/>
          <w:b/>
          <w:bCs/>
        </w:rPr>
        <w:t>~</w:t>
      </w:r>
      <w:r w:rsidRPr="003276DB">
        <w:rPr>
          <w:rFonts w:ascii="Garamond" w:hAnsi="Garamond" w:cs="Times"/>
        </w:rPr>
        <w:t>90%) dei pazienti con stipsi / MP ha marcate alterazioni delle funzioni motorie e sensoriali del tratto colico e rettale. Questo dato è di notevole rilevanza in quanto espande dati pubblicati in letteratura sulla stipsi cronica che notoriamente rappresenta un fattore aggravante la qualità di vita del paziente parkinsoniano (9). Inoltre, anche l’analisi quantitativa neuronale ha mostrato risultati importanti. In primo luogo, la stipsi severa nei pazienti parkinsoniani non è correlata ad una riduzione statisticamente significativa nel numero medio dei neuroni del plesso sottomucoso, sebbene sia emerso un trend alla riduzione. Ulteriori dati potranno definire se i neuroni nei parkinsoniani stitici sono effettivamente diminuiti vs. controlli. Resta inoltre da definire se le alterazioni numeriche dei neuroni della sottomucosa possano riflettere anche alterazioni che occorrono nel plesso mienterico. Da questo punto di vista, riteniamo possibile che i pazienti con stipsi / MP possano mostrare una compromissione dei neuroni mienterici come implicano i dati funzionali di transito e manometrici, entrambi alterati nella maggior parte dei pazienti inclusi. L'analisi neurochimica ha messo in evidenza alterazioni a carico di sottoclassi neuronali funzionalmente distinte nel plesso sottomucoso. Esperimenti di doppia immunofluorescenza, utilizzando anticorpi anti-PGP9.5 e -</w:t>
      </w:r>
      <w:proofErr w:type="spellStart"/>
      <w:r w:rsidRPr="003276DB">
        <w:rPr>
          <w:rFonts w:ascii="Garamond" w:hAnsi="Garamond" w:cs="Times"/>
        </w:rPr>
        <w:t>HuC</w:t>
      </w:r>
      <w:proofErr w:type="spellEnd"/>
      <w:r w:rsidRPr="003276DB">
        <w:rPr>
          <w:rFonts w:ascii="Garamond" w:hAnsi="Garamond" w:cs="Times"/>
        </w:rPr>
        <w:t>/D e anti-VIP, -TH e -</w:t>
      </w:r>
      <w:proofErr w:type="spellStart"/>
      <w:r w:rsidRPr="003276DB">
        <w:rPr>
          <w:rFonts w:ascii="Garamond" w:hAnsi="Garamond" w:cs="Times"/>
        </w:rPr>
        <w:t>ChAT</w:t>
      </w:r>
      <w:proofErr w:type="spellEnd"/>
      <w:r w:rsidRPr="003276DB">
        <w:rPr>
          <w:rFonts w:ascii="Garamond" w:hAnsi="Garamond" w:cs="Times"/>
        </w:rPr>
        <w:t xml:space="preserve"> (che identificano essenzialmente </w:t>
      </w:r>
      <w:proofErr w:type="spellStart"/>
      <w:r w:rsidRPr="003276DB">
        <w:rPr>
          <w:rFonts w:ascii="Garamond" w:hAnsi="Garamond" w:cs="Times"/>
        </w:rPr>
        <w:t>secretomotoneuroni</w:t>
      </w:r>
      <w:proofErr w:type="spellEnd"/>
      <w:r w:rsidRPr="003276DB">
        <w:rPr>
          <w:rFonts w:ascii="Garamond" w:hAnsi="Garamond" w:cs="Times"/>
        </w:rPr>
        <w:t xml:space="preserve"> del plesso sottomucoso) hanno dimostrato che, rispetto ai controlli, i pazienti con stipsi / MP hanno una diminuzione del numero medio di neuroni contenenti VIP. Questo dato avvalora l’ipotesi che oltre ad anomalie motorie, legate ai neuroni mienterici, anche i neuroni </w:t>
      </w:r>
      <w:proofErr w:type="spellStart"/>
      <w:r w:rsidRPr="003276DB">
        <w:rPr>
          <w:rFonts w:ascii="Garamond" w:hAnsi="Garamond" w:cs="Times"/>
        </w:rPr>
        <w:t>secretomotori</w:t>
      </w:r>
      <w:proofErr w:type="spellEnd"/>
      <w:r w:rsidRPr="003276DB">
        <w:rPr>
          <w:rFonts w:ascii="Garamond" w:hAnsi="Garamond" w:cs="Times"/>
        </w:rPr>
        <w:t xml:space="preserve"> (contenenti VIP), che rappresentano il più grande sottoinsieme di neuroni del plesso sottomucoso, possano essere alterati (7,10). A supporto di ciò, anomalie a carico dei neuroni </w:t>
      </w:r>
      <w:proofErr w:type="spellStart"/>
      <w:r w:rsidRPr="003276DB">
        <w:rPr>
          <w:rFonts w:ascii="Garamond" w:hAnsi="Garamond" w:cs="Times"/>
        </w:rPr>
        <w:t>secretomotori</w:t>
      </w:r>
      <w:proofErr w:type="spellEnd"/>
      <w:r w:rsidRPr="003276DB">
        <w:rPr>
          <w:rFonts w:ascii="Garamond" w:hAnsi="Garamond" w:cs="Times"/>
        </w:rPr>
        <w:t xml:space="preserve"> sono state dimostrate in soggetti anziani con stipsi (10). Così, sulla base del fatto che la maggior parte dei pazienti con MP sono anziani, può essere implicito che concomitanti alterazioni </w:t>
      </w:r>
      <w:proofErr w:type="spellStart"/>
      <w:r w:rsidRPr="003276DB">
        <w:rPr>
          <w:rFonts w:ascii="Garamond" w:hAnsi="Garamond" w:cs="Times"/>
        </w:rPr>
        <w:t>secretomotorie</w:t>
      </w:r>
      <w:proofErr w:type="spellEnd"/>
      <w:r w:rsidRPr="003276DB">
        <w:rPr>
          <w:rFonts w:ascii="Garamond" w:hAnsi="Garamond" w:cs="Times"/>
        </w:rPr>
        <w:t xml:space="preserve"> possono verificarsi in pazienti stitici / MP. Ulteriori dati riguardano l'analisi quantitativa dei neuroni </w:t>
      </w:r>
      <w:proofErr w:type="spellStart"/>
      <w:r w:rsidRPr="003276DB">
        <w:rPr>
          <w:rFonts w:ascii="Garamond" w:hAnsi="Garamond" w:cs="Times"/>
        </w:rPr>
        <w:t>ChAT</w:t>
      </w:r>
      <w:proofErr w:type="spellEnd"/>
      <w:r w:rsidRPr="003276DB">
        <w:rPr>
          <w:rFonts w:ascii="Garamond" w:hAnsi="Garamond" w:cs="Times"/>
        </w:rPr>
        <w:t xml:space="preserve"> immunoreattivi, cioè neuroni colinergici coinvolt</w:t>
      </w:r>
      <w:r w:rsidR="003276DB">
        <w:rPr>
          <w:rFonts w:ascii="Garamond" w:hAnsi="Garamond" w:cs="Times"/>
        </w:rPr>
        <w:t>i in attività "IPAN", ossia neu</w:t>
      </w:r>
      <w:r w:rsidRPr="003276DB">
        <w:rPr>
          <w:rFonts w:ascii="Garamond" w:hAnsi="Garamond" w:cs="Times"/>
        </w:rPr>
        <w:t>roni primari intrinseci afferenti, che non risultano alterati nei casi con MP rispetto ai controlli (7,10). L'innervazione adrenergica analizzata con anticorpi anti-TH, ha mostrato un pattern alterato di distribuzione della rete nervosa che proietta ai vasi della sottomucosa. Nell'insieme questi risultati rappresentano una base importante per</w:t>
      </w:r>
      <w:r w:rsidR="003276DB">
        <w:rPr>
          <w:rFonts w:ascii="Garamond" w:hAnsi="Garamond" w:cs="Times"/>
        </w:rPr>
        <w:t xml:space="preserve"> </w:t>
      </w:r>
      <w:bookmarkStart w:id="3" w:name="page5"/>
      <w:bookmarkEnd w:id="3"/>
      <w:r w:rsidRPr="003276DB">
        <w:rPr>
          <w:rFonts w:ascii="Garamond" w:hAnsi="Garamond" w:cs="Times"/>
        </w:rPr>
        <w:t>comprendere le alterazioni del SNE e della componente adrenergica, che possono svolgere un ruolo chiave nella fisiopatologia della stipsi cronica e anomalie del tono vascolare frequentemente riscontrate nei pazienti con MP.</w:t>
      </w:r>
    </w:p>
    <w:p w:rsidR="005D54B4" w:rsidRPr="003276DB" w:rsidRDefault="005D54B4">
      <w:pPr>
        <w:widowControl w:val="0"/>
        <w:autoSpaceDE w:val="0"/>
        <w:autoSpaceDN w:val="0"/>
        <w:adjustRightInd w:val="0"/>
        <w:spacing w:after="0" w:line="281" w:lineRule="exact"/>
        <w:rPr>
          <w:rFonts w:ascii="Garamond" w:hAnsi="Garamond"/>
        </w:rPr>
      </w:pPr>
    </w:p>
    <w:p w:rsidR="003276DB" w:rsidRDefault="003276DB">
      <w:pPr>
        <w:widowControl w:val="0"/>
        <w:autoSpaceDE w:val="0"/>
        <w:autoSpaceDN w:val="0"/>
        <w:adjustRightInd w:val="0"/>
        <w:spacing w:after="0" w:line="240" w:lineRule="auto"/>
        <w:ind w:left="7"/>
        <w:rPr>
          <w:rFonts w:ascii="Garamond" w:hAnsi="Garamond" w:cs="Times"/>
          <w:b/>
          <w:bCs/>
        </w:rPr>
      </w:pPr>
    </w:p>
    <w:p w:rsidR="003276DB" w:rsidRDefault="003276DB">
      <w:pPr>
        <w:widowControl w:val="0"/>
        <w:autoSpaceDE w:val="0"/>
        <w:autoSpaceDN w:val="0"/>
        <w:adjustRightInd w:val="0"/>
        <w:spacing w:after="0" w:line="240" w:lineRule="auto"/>
        <w:ind w:left="7"/>
        <w:rPr>
          <w:rFonts w:ascii="Garamond" w:hAnsi="Garamond" w:cs="Times"/>
          <w:b/>
          <w:bCs/>
        </w:rPr>
      </w:pPr>
    </w:p>
    <w:p w:rsidR="003276DB" w:rsidRDefault="003276DB">
      <w:pPr>
        <w:widowControl w:val="0"/>
        <w:autoSpaceDE w:val="0"/>
        <w:autoSpaceDN w:val="0"/>
        <w:adjustRightInd w:val="0"/>
        <w:spacing w:after="0" w:line="240" w:lineRule="auto"/>
        <w:ind w:left="7"/>
        <w:rPr>
          <w:rFonts w:ascii="Garamond" w:hAnsi="Garamond" w:cs="Times"/>
          <w:b/>
          <w:bCs/>
        </w:rPr>
      </w:pPr>
    </w:p>
    <w:p w:rsidR="003276DB" w:rsidRDefault="003276DB">
      <w:pPr>
        <w:widowControl w:val="0"/>
        <w:autoSpaceDE w:val="0"/>
        <w:autoSpaceDN w:val="0"/>
        <w:adjustRightInd w:val="0"/>
        <w:spacing w:after="0" w:line="240" w:lineRule="auto"/>
        <w:ind w:left="7"/>
        <w:rPr>
          <w:rFonts w:ascii="Garamond" w:hAnsi="Garamond" w:cs="Times"/>
          <w:b/>
          <w:bCs/>
        </w:rPr>
      </w:pPr>
    </w:p>
    <w:p w:rsidR="005D54B4" w:rsidRPr="003276DB" w:rsidRDefault="005D54B4">
      <w:pPr>
        <w:widowControl w:val="0"/>
        <w:autoSpaceDE w:val="0"/>
        <w:autoSpaceDN w:val="0"/>
        <w:adjustRightInd w:val="0"/>
        <w:spacing w:after="0" w:line="240" w:lineRule="auto"/>
        <w:ind w:left="7"/>
        <w:rPr>
          <w:rFonts w:ascii="Garamond" w:hAnsi="Garamond"/>
        </w:rPr>
      </w:pPr>
      <w:r w:rsidRPr="003276DB">
        <w:rPr>
          <w:rFonts w:ascii="Garamond" w:hAnsi="Garamond" w:cs="Times"/>
          <w:b/>
          <w:bCs/>
        </w:rPr>
        <w:t>Bibliografia</w:t>
      </w:r>
    </w:p>
    <w:p w:rsidR="005D54B4" w:rsidRPr="003276DB" w:rsidRDefault="005D54B4">
      <w:pPr>
        <w:widowControl w:val="0"/>
        <w:autoSpaceDE w:val="0"/>
        <w:autoSpaceDN w:val="0"/>
        <w:adjustRightInd w:val="0"/>
        <w:spacing w:after="0" w:line="281" w:lineRule="exact"/>
        <w:rPr>
          <w:rFonts w:ascii="Garamond" w:hAnsi="Garamond"/>
        </w:rPr>
      </w:pPr>
    </w:p>
    <w:p w:rsidR="005D54B4" w:rsidRPr="003276DB" w:rsidRDefault="005D54B4">
      <w:pPr>
        <w:widowControl w:val="0"/>
        <w:numPr>
          <w:ilvl w:val="0"/>
          <w:numId w:val="1"/>
        </w:numPr>
        <w:tabs>
          <w:tab w:val="clear" w:pos="720"/>
          <w:tab w:val="num" w:pos="288"/>
        </w:tabs>
        <w:overflowPunct w:val="0"/>
        <w:autoSpaceDE w:val="0"/>
        <w:autoSpaceDN w:val="0"/>
        <w:adjustRightInd w:val="0"/>
        <w:spacing w:after="0" w:line="236" w:lineRule="auto"/>
        <w:ind w:left="7" w:right="40" w:hanging="7"/>
        <w:jc w:val="both"/>
        <w:rPr>
          <w:rFonts w:ascii="Garamond" w:hAnsi="Garamond" w:cs="Times"/>
        </w:rPr>
      </w:pPr>
      <w:proofErr w:type="spellStart"/>
      <w:r w:rsidRPr="003276DB">
        <w:rPr>
          <w:rFonts w:ascii="Garamond" w:hAnsi="Garamond" w:cs="Times"/>
          <w:lang w:val="en-US"/>
        </w:rPr>
        <w:t>Derkinderen</w:t>
      </w:r>
      <w:proofErr w:type="spellEnd"/>
      <w:r w:rsidRPr="003276DB">
        <w:rPr>
          <w:rFonts w:ascii="Garamond" w:hAnsi="Garamond" w:cs="Times"/>
          <w:lang w:val="en-US"/>
        </w:rPr>
        <w:t xml:space="preserve"> P, </w:t>
      </w:r>
      <w:proofErr w:type="spellStart"/>
      <w:r w:rsidRPr="003276DB">
        <w:rPr>
          <w:rFonts w:ascii="Garamond" w:hAnsi="Garamond" w:cs="Times"/>
          <w:lang w:val="en-US"/>
        </w:rPr>
        <w:t>Rouaud</w:t>
      </w:r>
      <w:proofErr w:type="spellEnd"/>
      <w:r w:rsidRPr="003276DB">
        <w:rPr>
          <w:rFonts w:ascii="Garamond" w:hAnsi="Garamond" w:cs="Times"/>
          <w:lang w:val="en-US"/>
        </w:rPr>
        <w:t xml:space="preserve"> T, </w:t>
      </w:r>
      <w:proofErr w:type="spellStart"/>
      <w:r w:rsidRPr="003276DB">
        <w:rPr>
          <w:rFonts w:ascii="Garamond" w:hAnsi="Garamond" w:cs="Times"/>
          <w:lang w:val="en-US"/>
        </w:rPr>
        <w:t>Lebouvier</w:t>
      </w:r>
      <w:proofErr w:type="spellEnd"/>
      <w:r w:rsidRPr="003276DB">
        <w:rPr>
          <w:rFonts w:ascii="Garamond" w:hAnsi="Garamond" w:cs="Times"/>
          <w:lang w:val="en-US"/>
        </w:rPr>
        <w:t xml:space="preserve"> T, </w:t>
      </w:r>
      <w:proofErr w:type="spellStart"/>
      <w:r w:rsidRPr="003276DB">
        <w:rPr>
          <w:rFonts w:ascii="Garamond" w:hAnsi="Garamond" w:cs="Times"/>
          <w:lang w:val="en-US"/>
        </w:rPr>
        <w:t>Bruley</w:t>
      </w:r>
      <w:proofErr w:type="spellEnd"/>
      <w:r w:rsidRPr="003276DB">
        <w:rPr>
          <w:rFonts w:ascii="Garamond" w:hAnsi="Garamond" w:cs="Times"/>
          <w:lang w:val="en-US"/>
        </w:rPr>
        <w:t xml:space="preserve"> des </w:t>
      </w:r>
      <w:proofErr w:type="spellStart"/>
      <w:r w:rsidRPr="003276DB">
        <w:rPr>
          <w:rFonts w:ascii="Garamond" w:hAnsi="Garamond" w:cs="Times"/>
          <w:lang w:val="en-US"/>
        </w:rPr>
        <w:t>Varannes</w:t>
      </w:r>
      <w:proofErr w:type="spellEnd"/>
      <w:r w:rsidRPr="003276DB">
        <w:rPr>
          <w:rFonts w:ascii="Garamond" w:hAnsi="Garamond" w:cs="Times"/>
          <w:lang w:val="en-US"/>
        </w:rPr>
        <w:t xml:space="preserve"> S, </w:t>
      </w:r>
      <w:proofErr w:type="spellStart"/>
      <w:r w:rsidRPr="003276DB">
        <w:rPr>
          <w:rFonts w:ascii="Garamond" w:hAnsi="Garamond" w:cs="Times"/>
          <w:lang w:val="en-US"/>
        </w:rPr>
        <w:t>Neunlist</w:t>
      </w:r>
      <w:proofErr w:type="spellEnd"/>
      <w:r w:rsidRPr="003276DB">
        <w:rPr>
          <w:rFonts w:ascii="Garamond" w:hAnsi="Garamond" w:cs="Times"/>
          <w:lang w:val="en-US"/>
        </w:rPr>
        <w:t xml:space="preserve"> M, De Giorgio R. Parkinson disease: the enteric nervous system spills its guts. </w:t>
      </w:r>
      <w:proofErr w:type="spellStart"/>
      <w:r w:rsidRPr="003276DB">
        <w:rPr>
          <w:rFonts w:ascii="Garamond" w:hAnsi="Garamond" w:cs="Times"/>
        </w:rPr>
        <w:t>Neurology</w:t>
      </w:r>
      <w:proofErr w:type="spellEnd"/>
      <w:r w:rsidRPr="003276DB">
        <w:rPr>
          <w:rFonts w:ascii="Garamond" w:hAnsi="Garamond" w:cs="Times"/>
        </w:rPr>
        <w:t xml:space="preserve"> 2011;77:1761-1767. </w:t>
      </w:r>
    </w:p>
    <w:p w:rsidR="005D54B4" w:rsidRPr="003276DB" w:rsidRDefault="005D54B4">
      <w:pPr>
        <w:widowControl w:val="0"/>
        <w:autoSpaceDE w:val="0"/>
        <w:autoSpaceDN w:val="0"/>
        <w:adjustRightInd w:val="0"/>
        <w:spacing w:after="0" w:line="83" w:lineRule="exact"/>
        <w:rPr>
          <w:rFonts w:ascii="Garamond" w:hAnsi="Garamond" w:cs="Times"/>
        </w:rPr>
      </w:pPr>
    </w:p>
    <w:p w:rsidR="005D54B4" w:rsidRPr="003276DB" w:rsidRDefault="005D54B4">
      <w:pPr>
        <w:widowControl w:val="0"/>
        <w:numPr>
          <w:ilvl w:val="0"/>
          <w:numId w:val="1"/>
        </w:numPr>
        <w:tabs>
          <w:tab w:val="clear" w:pos="720"/>
          <w:tab w:val="num" w:pos="247"/>
        </w:tabs>
        <w:overflowPunct w:val="0"/>
        <w:autoSpaceDE w:val="0"/>
        <w:autoSpaceDN w:val="0"/>
        <w:adjustRightInd w:val="0"/>
        <w:spacing w:after="0" w:line="240" w:lineRule="auto"/>
        <w:ind w:left="247" w:hanging="247"/>
        <w:jc w:val="both"/>
        <w:rPr>
          <w:rFonts w:ascii="Garamond" w:hAnsi="Garamond" w:cs="Times"/>
        </w:rPr>
      </w:pPr>
      <w:proofErr w:type="spellStart"/>
      <w:r w:rsidRPr="003276DB">
        <w:rPr>
          <w:rFonts w:ascii="Garamond" w:hAnsi="Garamond" w:cs="Times"/>
          <w:lang w:val="en-US"/>
        </w:rPr>
        <w:t>Poewe</w:t>
      </w:r>
      <w:proofErr w:type="spellEnd"/>
      <w:r w:rsidRPr="003276DB">
        <w:rPr>
          <w:rFonts w:ascii="Garamond" w:hAnsi="Garamond" w:cs="Times"/>
          <w:lang w:val="en-US"/>
        </w:rPr>
        <w:t xml:space="preserve"> W. Non-motor symptoms in Parkinson's disease. </w:t>
      </w:r>
      <w:proofErr w:type="spellStart"/>
      <w:r w:rsidRPr="003276DB">
        <w:rPr>
          <w:rFonts w:ascii="Garamond" w:hAnsi="Garamond" w:cs="Times"/>
        </w:rPr>
        <w:t>Eur</w:t>
      </w:r>
      <w:proofErr w:type="spellEnd"/>
      <w:r w:rsidRPr="003276DB">
        <w:rPr>
          <w:rFonts w:ascii="Garamond" w:hAnsi="Garamond" w:cs="Times"/>
        </w:rPr>
        <w:t xml:space="preserve"> J </w:t>
      </w:r>
      <w:proofErr w:type="spellStart"/>
      <w:r w:rsidRPr="003276DB">
        <w:rPr>
          <w:rFonts w:ascii="Garamond" w:hAnsi="Garamond" w:cs="Times"/>
        </w:rPr>
        <w:t>Neurol</w:t>
      </w:r>
      <w:proofErr w:type="spellEnd"/>
      <w:r w:rsidRPr="003276DB">
        <w:rPr>
          <w:rFonts w:ascii="Garamond" w:hAnsi="Garamond" w:cs="Times"/>
        </w:rPr>
        <w:t xml:space="preserve"> 2008; 15(</w:t>
      </w:r>
      <w:proofErr w:type="spellStart"/>
      <w:r w:rsidRPr="003276DB">
        <w:rPr>
          <w:rFonts w:ascii="Garamond" w:hAnsi="Garamond" w:cs="Times"/>
        </w:rPr>
        <w:t>Suppl</w:t>
      </w:r>
      <w:proofErr w:type="spellEnd"/>
      <w:r w:rsidRPr="003276DB">
        <w:rPr>
          <w:rFonts w:ascii="Garamond" w:hAnsi="Garamond" w:cs="Times"/>
        </w:rPr>
        <w:t xml:space="preserve"> 1):14-20. </w:t>
      </w:r>
    </w:p>
    <w:p w:rsidR="005D54B4" w:rsidRPr="003276DB" w:rsidRDefault="005D54B4">
      <w:pPr>
        <w:widowControl w:val="0"/>
        <w:autoSpaceDE w:val="0"/>
        <w:autoSpaceDN w:val="0"/>
        <w:adjustRightInd w:val="0"/>
        <w:spacing w:after="0" w:line="86" w:lineRule="exact"/>
        <w:rPr>
          <w:rFonts w:ascii="Garamond" w:hAnsi="Garamond" w:cs="Times"/>
        </w:rPr>
      </w:pPr>
    </w:p>
    <w:p w:rsidR="005D54B4" w:rsidRPr="003276DB" w:rsidRDefault="005D54B4">
      <w:pPr>
        <w:widowControl w:val="0"/>
        <w:numPr>
          <w:ilvl w:val="0"/>
          <w:numId w:val="1"/>
        </w:numPr>
        <w:tabs>
          <w:tab w:val="clear" w:pos="720"/>
          <w:tab w:val="num" w:pos="269"/>
        </w:tabs>
        <w:overflowPunct w:val="0"/>
        <w:autoSpaceDE w:val="0"/>
        <w:autoSpaceDN w:val="0"/>
        <w:adjustRightInd w:val="0"/>
        <w:spacing w:after="0" w:line="236" w:lineRule="auto"/>
        <w:ind w:left="7" w:hanging="7"/>
        <w:jc w:val="both"/>
        <w:rPr>
          <w:rFonts w:ascii="Garamond" w:hAnsi="Garamond" w:cs="Times"/>
        </w:rPr>
      </w:pPr>
      <w:proofErr w:type="spellStart"/>
      <w:r w:rsidRPr="003276DB">
        <w:rPr>
          <w:rFonts w:ascii="Garamond" w:hAnsi="Garamond" w:cs="Times"/>
          <w:lang w:val="en-US"/>
        </w:rPr>
        <w:t>Braak</w:t>
      </w:r>
      <w:proofErr w:type="spellEnd"/>
      <w:r w:rsidRPr="003276DB">
        <w:rPr>
          <w:rFonts w:ascii="Garamond" w:hAnsi="Garamond" w:cs="Times"/>
          <w:lang w:val="en-US"/>
        </w:rPr>
        <w:t xml:space="preserve"> H, Del </w:t>
      </w:r>
      <w:proofErr w:type="spellStart"/>
      <w:r w:rsidRPr="003276DB">
        <w:rPr>
          <w:rFonts w:ascii="Garamond" w:hAnsi="Garamond" w:cs="Times"/>
          <w:lang w:val="en-US"/>
        </w:rPr>
        <w:t>Tredici</w:t>
      </w:r>
      <w:proofErr w:type="spellEnd"/>
      <w:r w:rsidRPr="003276DB">
        <w:rPr>
          <w:rFonts w:ascii="Garamond" w:hAnsi="Garamond" w:cs="Times"/>
          <w:lang w:val="en-US"/>
        </w:rPr>
        <w:t xml:space="preserve"> K. Nervous system pathology in sporadic Parkinson's disease. </w:t>
      </w:r>
      <w:proofErr w:type="spellStart"/>
      <w:r w:rsidRPr="003276DB">
        <w:rPr>
          <w:rFonts w:ascii="Garamond" w:hAnsi="Garamond" w:cs="Times"/>
        </w:rPr>
        <w:t>Neurology</w:t>
      </w:r>
      <w:proofErr w:type="spellEnd"/>
      <w:r w:rsidRPr="003276DB">
        <w:rPr>
          <w:rFonts w:ascii="Garamond" w:hAnsi="Garamond" w:cs="Times"/>
        </w:rPr>
        <w:t xml:space="preserve"> 2008; 70:1916-1925. </w:t>
      </w:r>
    </w:p>
    <w:p w:rsidR="005D54B4" w:rsidRPr="003276DB" w:rsidRDefault="005D54B4">
      <w:pPr>
        <w:widowControl w:val="0"/>
        <w:autoSpaceDE w:val="0"/>
        <w:autoSpaceDN w:val="0"/>
        <w:adjustRightInd w:val="0"/>
        <w:spacing w:after="0" w:line="78" w:lineRule="exact"/>
        <w:rPr>
          <w:rFonts w:ascii="Garamond" w:hAnsi="Garamond" w:cs="Times"/>
        </w:rPr>
      </w:pPr>
    </w:p>
    <w:p w:rsidR="005D54B4" w:rsidRPr="003276DB" w:rsidRDefault="005D54B4">
      <w:pPr>
        <w:widowControl w:val="0"/>
        <w:numPr>
          <w:ilvl w:val="0"/>
          <w:numId w:val="1"/>
        </w:numPr>
        <w:tabs>
          <w:tab w:val="clear" w:pos="720"/>
          <w:tab w:val="num" w:pos="247"/>
        </w:tabs>
        <w:overflowPunct w:val="0"/>
        <w:autoSpaceDE w:val="0"/>
        <w:autoSpaceDN w:val="0"/>
        <w:adjustRightInd w:val="0"/>
        <w:spacing w:after="0" w:line="240" w:lineRule="auto"/>
        <w:ind w:left="247" w:hanging="247"/>
        <w:jc w:val="both"/>
        <w:rPr>
          <w:rFonts w:ascii="Garamond" w:hAnsi="Garamond" w:cs="Times"/>
        </w:rPr>
      </w:pPr>
      <w:r w:rsidRPr="003276DB">
        <w:rPr>
          <w:rFonts w:ascii="Garamond" w:hAnsi="Garamond" w:cs="Times"/>
          <w:lang w:val="en-US"/>
        </w:rPr>
        <w:t xml:space="preserve">Adler CH. </w:t>
      </w:r>
      <w:proofErr w:type="spellStart"/>
      <w:r w:rsidRPr="003276DB">
        <w:rPr>
          <w:rFonts w:ascii="Garamond" w:hAnsi="Garamond" w:cs="Times"/>
          <w:lang w:val="en-US"/>
        </w:rPr>
        <w:t>Premonitor</w:t>
      </w:r>
      <w:proofErr w:type="spellEnd"/>
      <w:r w:rsidRPr="003276DB">
        <w:rPr>
          <w:rFonts w:ascii="Garamond" w:hAnsi="Garamond" w:cs="Times"/>
          <w:lang w:val="en-US"/>
        </w:rPr>
        <w:t xml:space="preserve"> symptoms and early diagnosis of Parkinson's disease. </w:t>
      </w:r>
      <w:proofErr w:type="spellStart"/>
      <w:r w:rsidRPr="003276DB">
        <w:rPr>
          <w:rFonts w:ascii="Garamond" w:hAnsi="Garamond" w:cs="Times"/>
        </w:rPr>
        <w:t>Int</w:t>
      </w:r>
      <w:proofErr w:type="spellEnd"/>
      <w:r w:rsidRPr="003276DB">
        <w:rPr>
          <w:rFonts w:ascii="Garamond" w:hAnsi="Garamond" w:cs="Times"/>
        </w:rPr>
        <w:t xml:space="preserve"> J </w:t>
      </w:r>
      <w:proofErr w:type="spellStart"/>
      <w:r w:rsidRPr="003276DB">
        <w:rPr>
          <w:rFonts w:ascii="Garamond" w:hAnsi="Garamond" w:cs="Times"/>
        </w:rPr>
        <w:t>Neurosci</w:t>
      </w:r>
      <w:proofErr w:type="spellEnd"/>
      <w:r w:rsidRPr="003276DB">
        <w:rPr>
          <w:rFonts w:ascii="Garamond" w:hAnsi="Garamond" w:cs="Times"/>
        </w:rPr>
        <w:t xml:space="preserve"> 2011; </w:t>
      </w:r>
    </w:p>
    <w:p w:rsidR="005D54B4" w:rsidRPr="003276DB" w:rsidRDefault="005D54B4">
      <w:pPr>
        <w:widowControl w:val="0"/>
        <w:autoSpaceDE w:val="0"/>
        <w:autoSpaceDN w:val="0"/>
        <w:adjustRightInd w:val="0"/>
        <w:spacing w:after="0" w:line="2" w:lineRule="exact"/>
        <w:rPr>
          <w:rFonts w:ascii="Garamond" w:hAnsi="Garamond" w:cs="Times"/>
        </w:rPr>
      </w:pPr>
    </w:p>
    <w:p w:rsidR="005D54B4" w:rsidRPr="003276DB" w:rsidRDefault="005D54B4">
      <w:pPr>
        <w:widowControl w:val="0"/>
        <w:numPr>
          <w:ilvl w:val="0"/>
          <w:numId w:val="2"/>
        </w:numPr>
        <w:tabs>
          <w:tab w:val="clear" w:pos="720"/>
          <w:tab w:val="num" w:pos="427"/>
        </w:tabs>
        <w:overflowPunct w:val="0"/>
        <w:autoSpaceDE w:val="0"/>
        <w:autoSpaceDN w:val="0"/>
        <w:adjustRightInd w:val="0"/>
        <w:spacing w:after="0" w:line="240" w:lineRule="auto"/>
        <w:ind w:left="427" w:hanging="427"/>
        <w:jc w:val="both"/>
        <w:rPr>
          <w:rFonts w:ascii="Garamond" w:hAnsi="Garamond" w:cs="Times"/>
        </w:rPr>
      </w:pPr>
      <w:r w:rsidRPr="003276DB">
        <w:rPr>
          <w:rFonts w:ascii="Garamond" w:hAnsi="Garamond" w:cs="Times"/>
        </w:rPr>
        <w:t>(</w:t>
      </w:r>
      <w:proofErr w:type="spellStart"/>
      <w:r w:rsidRPr="003276DB">
        <w:rPr>
          <w:rFonts w:ascii="Garamond" w:hAnsi="Garamond" w:cs="Times"/>
        </w:rPr>
        <w:t>Suppl</w:t>
      </w:r>
      <w:proofErr w:type="spellEnd"/>
      <w:r w:rsidRPr="003276DB">
        <w:rPr>
          <w:rFonts w:ascii="Garamond" w:hAnsi="Garamond" w:cs="Times"/>
        </w:rPr>
        <w:t xml:space="preserve"> 2):3-8. </w:t>
      </w:r>
    </w:p>
    <w:p w:rsidR="005D54B4" w:rsidRPr="003276DB" w:rsidRDefault="005D54B4">
      <w:pPr>
        <w:widowControl w:val="0"/>
        <w:autoSpaceDE w:val="0"/>
        <w:autoSpaceDN w:val="0"/>
        <w:adjustRightInd w:val="0"/>
        <w:spacing w:after="0" w:line="89" w:lineRule="exact"/>
        <w:rPr>
          <w:rFonts w:ascii="Garamond" w:hAnsi="Garamond" w:cs="Times"/>
        </w:rPr>
      </w:pPr>
    </w:p>
    <w:p w:rsidR="005D54B4" w:rsidRPr="003276DB" w:rsidRDefault="005D54B4">
      <w:pPr>
        <w:widowControl w:val="0"/>
        <w:numPr>
          <w:ilvl w:val="0"/>
          <w:numId w:val="3"/>
        </w:numPr>
        <w:tabs>
          <w:tab w:val="clear" w:pos="720"/>
          <w:tab w:val="num" w:pos="257"/>
        </w:tabs>
        <w:overflowPunct w:val="0"/>
        <w:autoSpaceDE w:val="0"/>
        <w:autoSpaceDN w:val="0"/>
        <w:adjustRightInd w:val="0"/>
        <w:spacing w:after="0" w:line="236" w:lineRule="auto"/>
        <w:ind w:left="7" w:right="20" w:hanging="7"/>
        <w:jc w:val="both"/>
        <w:rPr>
          <w:rFonts w:ascii="Garamond" w:hAnsi="Garamond" w:cs="Times"/>
          <w:lang w:val="en-US"/>
        </w:rPr>
      </w:pPr>
      <w:r w:rsidRPr="003276DB">
        <w:rPr>
          <w:rFonts w:ascii="Garamond" w:hAnsi="Garamond" w:cs="Times"/>
          <w:lang w:val="en-US"/>
        </w:rPr>
        <w:t xml:space="preserve">Wakabayashi K, Takahashi H, Takeda S, </w:t>
      </w:r>
      <w:proofErr w:type="spellStart"/>
      <w:r w:rsidRPr="003276DB">
        <w:rPr>
          <w:rFonts w:ascii="Garamond" w:hAnsi="Garamond" w:cs="Times"/>
          <w:lang w:val="en-US"/>
        </w:rPr>
        <w:t>Ohama</w:t>
      </w:r>
      <w:proofErr w:type="spellEnd"/>
      <w:r w:rsidRPr="003276DB">
        <w:rPr>
          <w:rFonts w:ascii="Garamond" w:hAnsi="Garamond" w:cs="Times"/>
          <w:lang w:val="en-US"/>
        </w:rPr>
        <w:t xml:space="preserve"> E, Ikuta F. Parkinson's disease: the presence of </w:t>
      </w:r>
      <w:proofErr w:type="spellStart"/>
      <w:r w:rsidRPr="003276DB">
        <w:rPr>
          <w:rFonts w:ascii="Garamond" w:hAnsi="Garamond" w:cs="Times"/>
          <w:lang w:val="en-US"/>
        </w:rPr>
        <w:t>Lewy</w:t>
      </w:r>
      <w:proofErr w:type="spellEnd"/>
      <w:r w:rsidRPr="003276DB">
        <w:rPr>
          <w:rFonts w:ascii="Garamond" w:hAnsi="Garamond" w:cs="Times"/>
          <w:lang w:val="en-US"/>
        </w:rPr>
        <w:t xml:space="preserve"> bodies in </w:t>
      </w:r>
      <w:proofErr w:type="spellStart"/>
      <w:r w:rsidRPr="003276DB">
        <w:rPr>
          <w:rFonts w:ascii="Garamond" w:hAnsi="Garamond" w:cs="Times"/>
          <w:lang w:val="en-US"/>
        </w:rPr>
        <w:t>Auerbach's</w:t>
      </w:r>
      <w:proofErr w:type="spellEnd"/>
      <w:r w:rsidRPr="003276DB">
        <w:rPr>
          <w:rFonts w:ascii="Garamond" w:hAnsi="Garamond" w:cs="Times"/>
          <w:lang w:val="en-US"/>
        </w:rPr>
        <w:t xml:space="preserve"> and </w:t>
      </w:r>
      <w:proofErr w:type="spellStart"/>
      <w:r w:rsidRPr="003276DB">
        <w:rPr>
          <w:rFonts w:ascii="Garamond" w:hAnsi="Garamond" w:cs="Times"/>
          <w:lang w:val="en-US"/>
        </w:rPr>
        <w:t>Meissner's</w:t>
      </w:r>
      <w:proofErr w:type="spellEnd"/>
      <w:r w:rsidRPr="003276DB">
        <w:rPr>
          <w:rFonts w:ascii="Garamond" w:hAnsi="Garamond" w:cs="Times"/>
          <w:lang w:val="en-US"/>
        </w:rPr>
        <w:t xml:space="preserve"> </w:t>
      </w:r>
      <w:proofErr w:type="spellStart"/>
      <w:r w:rsidRPr="003276DB">
        <w:rPr>
          <w:rFonts w:ascii="Garamond" w:hAnsi="Garamond" w:cs="Times"/>
          <w:lang w:val="en-US"/>
        </w:rPr>
        <w:t>plexuses.Acta</w:t>
      </w:r>
      <w:proofErr w:type="spellEnd"/>
      <w:r w:rsidRPr="003276DB">
        <w:rPr>
          <w:rFonts w:ascii="Garamond" w:hAnsi="Garamond" w:cs="Times"/>
          <w:lang w:val="en-US"/>
        </w:rPr>
        <w:t xml:space="preserve"> </w:t>
      </w:r>
      <w:proofErr w:type="spellStart"/>
      <w:r w:rsidRPr="003276DB">
        <w:rPr>
          <w:rFonts w:ascii="Garamond" w:hAnsi="Garamond" w:cs="Times"/>
          <w:lang w:val="en-US"/>
        </w:rPr>
        <w:t>Neuropathol</w:t>
      </w:r>
      <w:proofErr w:type="spellEnd"/>
      <w:r w:rsidRPr="003276DB">
        <w:rPr>
          <w:rFonts w:ascii="Garamond" w:hAnsi="Garamond" w:cs="Times"/>
          <w:lang w:val="en-US"/>
        </w:rPr>
        <w:t xml:space="preserve"> 1988, 76: 217-221. </w:t>
      </w:r>
    </w:p>
    <w:p w:rsidR="005D54B4" w:rsidRPr="003276DB" w:rsidRDefault="005D54B4">
      <w:pPr>
        <w:widowControl w:val="0"/>
        <w:autoSpaceDE w:val="0"/>
        <w:autoSpaceDN w:val="0"/>
        <w:adjustRightInd w:val="0"/>
        <w:spacing w:after="0" w:line="88" w:lineRule="exact"/>
        <w:rPr>
          <w:rFonts w:ascii="Garamond" w:hAnsi="Garamond" w:cs="Times"/>
          <w:lang w:val="en-US"/>
        </w:rPr>
      </w:pPr>
    </w:p>
    <w:p w:rsidR="005D54B4" w:rsidRPr="003276DB" w:rsidRDefault="005D54B4">
      <w:pPr>
        <w:widowControl w:val="0"/>
        <w:numPr>
          <w:ilvl w:val="0"/>
          <w:numId w:val="3"/>
        </w:numPr>
        <w:tabs>
          <w:tab w:val="clear" w:pos="720"/>
          <w:tab w:val="num" w:pos="314"/>
        </w:tabs>
        <w:overflowPunct w:val="0"/>
        <w:autoSpaceDE w:val="0"/>
        <w:autoSpaceDN w:val="0"/>
        <w:adjustRightInd w:val="0"/>
        <w:spacing w:after="0" w:line="237" w:lineRule="auto"/>
        <w:ind w:left="7" w:right="60" w:hanging="7"/>
        <w:jc w:val="both"/>
        <w:rPr>
          <w:rFonts w:ascii="Garamond" w:hAnsi="Garamond" w:cs="Times"/>
        </w:rPr>
      </w:pPr>
      <w:proofErr w:type="spellStart"/>
      <w:r w:rsidRPr="003276DB">
        <w:rPr>
          <w:rFonts w:ascii="Garamond" w:hAnsi="Garamond" w:cs="Times"/>
          <w:lang w:val="en-US"/>
        </w:rPr>
        <w:t>Lebouvier</w:t>
      </w:r>
      <w:proofErr w:type="spellEnd"/>
      <w:r w:rsidRPr="003276DB">
        <w:rPr>
          <w:rFonts w:ascii="Garamond" w:hAnsi="Garamond" w:cs="Times"/>
          <w:lang w:val="en-US"/>
        </w:rPr>
        <w:t xml:space="preserve"> T, </w:t>
      </w:r>
      <w:proofErr w:type="spellStart"/>
      <w:r w:rsidRPr="003276DB">
        <w:rPr>
          <w:rFonts w:ascii="Garamond" w:hAnsi="Garamond" w:cs="Times"/>
          <w:lang w:val="en-US"/>
        </w:rPr>
        <w:t>Chaumette</w:t>
      </w:r>
      <w:proofErr w:type="spellEnd"/>
      <w:r w:rsidRPr="003276DB">
        <w:rPr>
          <w:rFonts w:ascii="Garamond" w:hAnsi="Garamond" w:cs="Times"/>
          <w:lang w:val="en-US"/>
        </w:rPr>
        <w:t xml:space="preserve"> T, </w:t>
      </w:r>
      <w:proofErr w:type="spellStart"/>
      <w:r w:rsidRPr="003276DB">
        <w:rPr>
          <w:rFonts w:ascii="Garamond" w:hAnsi="Garamond" w:cs="Times"/>
          <w:lang w:val="en-US"/>
        </w:rPr>
        <w:t>Damier</w:t>
      </w:r>
      <w:proofErr w:type="spellEnd"/>
      <w:r w:rsidRPr="003276DB">
        <w:rPr>
          <w:rFonts w:ascii="Garamond" w:hAnsi="Garamond" w:cs="Times"/>
          <w:lang w:val="en-US"/>
        </w:rPr>
        <w:t xml:space="preserve"> P, </w:t>
      </w:r>
      <w:proofErr w:type="spellStart"/>
      <w:r w:rsidRPr="003276DB">
        <w:rPr>
          <w:rFonts w:ascii="Garamond" w:hAnsi="Garamond" w:cs="Times"/>
          <w:lang w:val="en-US"/>
        </w:rPr>
        <w:t>Coron</w:t>
      </w:r>
      <w:proofErr w:type="spellEnd"/>
      <w:r w:rsidRPr="003276DB">
        <w:rPr>
          <w:rFonts w:ascii="Garamond" w:hAnsi="Garamond" w:cs="Times"/>
          <w:lang w:val="en-US"/>
        </w:rPr>
        <w:t xml:space="preserve"> E, </w:t>
      </w:r>
      <w:proofErr w:type="spellStart"/>
      <w:r w:rsidRPr="003276DB">
        <w:rPr>
          <w:rFonts w:ascii="Garamond" w:hAnsi="Garamond" w:cs="Times"/>
          <w:lang w:val="en-US"/>
        </w:rPr>
        <w:t>Touchefeu</w:t>
      </w:r>
      <w:proofErr w:type="spellEnd"/>
      <w:r w:rsidRPr="003276DB">
        <w:rPr>
          <w:rFonts w:ascii="Garamond" w:hAnsi="Garamond" w:cs="Times"/>
          <w:lang w:val="en-US"/>
        </w:rPr>
        <w:t xml:space="preserve"> Y, S </w:t>
      </w:r>
      <w:proofErr w:type="spellStart"/>
      <w:r w:rsidRPr="003276DB">
        <w:rPr>
          <w:rFonts w:ascii="Garamond" w:hAnsi="Garamond" w:cs="Times"/>
          <w:lang w:val="en-US"/>
        </w:rPr>
        <w:t>Vrignaud</w:t>
      </w:r>
      <w:proofErr w:type="spellEnd"/>
      <w:r w:rsidRPr="003276DB">
        <w:rPr>
          <w:rFonts w:ascii="Garamond" w:hAnsi="Garamond" w:cs="Times"/>
          <w:lang w:val="en-US"/>
        </w:rPr>
        <w:t xml:space="preserve">, </w:t>
      </w:r>
      <w:proofErr w:type="spellStart"/>
      <w:r w:rsidRPr="003276DB">
        <w:rPr>
          <w:rFonts w:ascii="Garamond" w:hAnsi="Garamond" w:cs="Times"/>
          <w:lang w:val="en-US"/>
        </w:rPr>
        <w:t>Naveilhan</w:t>
      </w:r>
      <w:proofErr w:type="spellEnd"/>
      <w:r w:rsidRPr="003276DB">
        <w:rPr>
          <w:rFonts w:ascii="Garamond" w:hAnsi="Garamond" w:cs="Times"/>
          <w:lang w:val="en-US"/>
        </w:rPr>
        <w:t xml:space="preserve"> P, </w:t>
      </w:r>
      <w:proofErr w:type="spellStart"/>
      <w:r w:rsidRPr="003276DB">
        <w:rPr>
          <w:rFonts w:ascii="Garamond" w:hAnsi="Garamond" w:cs="Times"/>
          <w:lang w:val="en-US"/>
        </w:rPr>
        <w:t>Galmiche</w:t>
      </w:r>
      <w:proofErr w:type="spellEnd"/>
      <w:r w:rsidRPr="003276DB">
        <w:rPr>
          <w:rFonts w:ascii="Garamond" w:hAnsi="Garamond" w:cs="Times"/>
          <w:lang w:val="en-US"/>
        </w:rPr>
        <w:t xml:space="preserve"> JP, </w:t>
      </w:r>
      <w:proofErr w:type="spellStart"/>
      <w:r w:rsidRPr="003276DB">
        <w:rPr>
          <w:rFonts w:ascii="Garamond" w:hAnsi="Garamond" w:cs="Times"/>
          <w:lang w:val="en-US"/>
        </w:rPr>
        <w:t>Bruley</w:t>
      </w:r>
      <w:proofErr w:type="spellEnd"/>
      <w:r w:rsidRPr="003276DB">
        <w:rPr>
          <w:rFonts w:ascii="Garamond" w:hAnsi="Garamond" w:cs="Times"/>
          <w:lang w:val="en-US"/>
        </w:rPr>
        <w:t xml:space="preserve"> des </w:t>
      </w:r>
      <w:proofErr w:type="spellStart"/>
      <w:r w:rsidRPr="003276DB">
        <w:rPr>
          <w:rFonts w:ascii="Garamond" w:hAnsi="Garamond" w:cs="Times"/>
          <w:lang w:val="en-US"/>
        </w:rPr>
        <w:t>Varannes</w:t>
      </w:r>
      <w:proofErr w:type="spellEnd"/>
      <w:r w:rsidRPr="003276DB">
        <w:rPr>
          <w:rFonts w:ascii="Garamond" w:hAnsi="Garamond" w:cs="Times"/>
          <w:lang w:val="en-US"/>
        </w:rPr>
        <w:t xml:space="preserve"> S, P </w:t>
      </w:r>
      <w:proofErr w:type="spellStart"/>
      <w:r w:rsidRPr="003276DB">
        <w:rPr>
          <w:rFonts w:ascii="Garamond" w:hAnsi="Garamond" w:cs="Times"/>
          <w:lang w:val="en-US"/>
        </w:rPr>
        <w:t>Derkinderen</w:t>
      </w:r>
      <w:proofErr w:type="spellEnd"/>
      <w:r w:rsidRPr="003276DB">
        <w:rPr>
          <w:rFonts w:ascii="Garamond" w:hAnsi="Garamond" w:cs="Times"/>
          <w:lang w:val="en-US"/>
        </w:rPr>
        <w:t xml:space="preserve">, M. </w:t>
      </w:r>
      <w:proofErr w:type="spellStart"/>
      <w:r w:rsidRPr="003276DB">
        <w:rPr>
          <w:rFonts w:ascii="Garamond" w:hAnsi="Garamond" w:cs="Times"/>
          <w:lang w:val="en-US"/>
        </w:rPr>
        <w:t>Neunlist</w:t>
      </w:r>
      <w:proofErr w:type="spellEnd"/>
      <w:r w:rsidRPr="003276DB">
        <w:rPr>
          <w:rFonts w:ascii="Garamond" w:hAnsi="Garamond" w:cs="Times"/>
          <w:lang w:val="en-US"/>
        </w:rPr>
        <w:t xml:space="preserve"> Pathological lesions in colonic biopsies during Parkinson's disease. </w:t>
      </w:r>
      <w:proofErr w:type="spellStart"/>
      <w:r w:rsidRPr="003276DB">
        <w:rPr>
          <w:rFonts w:ascii="Garamond" w:hAnsi="Garamond" w:cs="Times"/>
        </w:rPr>
        <w:t>Gut</w:t>
      </w:r>
      <w:proofErr w:type="spellEnd"/>
      <w:r w:rsidRPr="003276DB">
        <w:rPr>
          <w:rFonts w:ascii="Garamond" w:hAnsi="Garamond" w:cs="Times"/>
        </w:rPr>
        <w:t xml:space="preserve"> 2008; 57:1741-1743. </w:t>
      </w:r>
    </w:p>
    <w:p w:rsidR="005D54B4" w:rsidRPr="003276DB" w:rsidRDefault="005D54B4">
      <w:pPr>
        <w:widowControl w:val="0"/>
        <w:autoSpaceDE w:val="0"/>
        <w:autoSpaceDN w:val="0"/>
        <w:adjustRightInd w:val="0"/>
        <w:spacing w:after="0" w:line="89" w:lineRule="exact"/>
        <w:rPr>
          <w:rFonts w:ascii="Garamond" w:hAnsi="Garamond" w:cs="Times"/>
        </w:rPr>
      </w:pPr>
    </w:p>
    <w:p w:rsidR="005D54B4" w:rsidRPr="003276DB" w:rsidRDefault="005D54B4">
      <w:pPr>
        <w:widowControl w:val="0"/>
        <w:numPr>
          <w:ilvl w:val="0"/>
          <w:numId w:val="3"/>
        </w:numPr>
        <w:tabs>
          <w:tab w:val="clear" w:pos="720"/>
          <w:tab w:val="num" w:pos="247"/>
        </w:tabs>
        <w:overflowPunct w:val="0"/>
        <w:autoSpaceDE w:val="0"/>
        <w:autoSpaceDN w:val="0"/>
        <w:adjustRightInd w:val="0"/>
        <w:spacing w:after="0" w:line="236" w:lineRule="auto"/>
        <w:ind w:left="7" w:right="420" w:hanging="7"/>
        <w:jc w:val="both"/>
        <w:rPr>
          <w:rFonts w:ascii="Garamond" w:hAnsi="Garamond" w:cs="Times"/>
        </w:rPr>
      </w:pPr>
      <w:r w:rsidRPr="003276DB">
        <w:rPr>
          <w:rFonts w:ascii="Garamond" w:hAnsi="Garamond" w:cs="Times"/>
          <w:lang w:val="en-US"/>
        </w:rPr>
        <w:t xml:space="preserve">De Giorgio R, Barbara G, Furness JB, </w:t>
      </w:r>
      <w:proofErr w:type="spellStart"/>
      <w:r w:rsidRPr="003276DB">
        <w:rPr>
          <w:rFonts w:ascii="Garamond" w:hAnsi="Garamond" w:cs="Times"/>
          <w:lang w:val="en-US"/>
        </w:rPr>
        <w:t>Tonini</w:t>
      </w:r>
      <w:proofErr w:type="spellEnd"/>
      <w:r w:rsidRPr="003276DB">
        <w:rPr>
          <w:rFonts w:ascii="Garamond" w:hAnsi="Garamond" w:cs="Times"/>
          <w:lang w:val="en-US"/>
        </w:rPr>
        <w:t xml:space="preserve"> M. Novel therapeutic targets for enteric nervous system disorders. </w:t>
      </w:r>
      <w:r w:rsidRPr="003276DB">
        <w:rPr>
          <w:rFonts w:ascii="Garamond" w:hAnsi="Garamond" w:cs="Times"/>
        </w:rPr>
        <w:t xml:space="preserve">Trends </w:t>
      </w:r>
      <w:proofErr w:type="spellStart"/>
      <w:r w:rsidRPr="003276DB">
        <w:rPr>
          <w:rFonts w:ascii="Garamond" w:hAnsi="Garamond" w:cs="Times"/>
        </w:rPr>
        <w:t>Pharmacol</w:t>
      </w:r>
      <w:proofErr w:type="spellEnd"/>
      <w:r w:rsidRPr="003276DB">
        <w:rPr>
          <w:rFonts w:ascii="Garamond" w:hAnsi="Garamond" w:cs="Times"/>
        </w:rPr>
        <w:t xml:space="preserve"> Sci. 2007; 28:473-481. </w:t>
      </w:r>
    </w:p>
    <w:p w:rsidR="005D54B4" w:rsidRPr="003276DB" w:rsidRDefault="005D54B4">
      <w:pPr>
        <w:widowControl w:val="0"/>
        <w:autoSpaceDE w:val="0"/>
        <w:autoSpaceDN w:val="0"/>
        <w:adjustRightInd w:val="0"/>
        <w:spacing w:after="0" w:line="90" w:lineRule="exact"/>
        <w:rPr>
          <w:rFonts w:ascii="Garamond" w:hAnsi="Garamond" w:cs="Times"/>
        </w:rPr>
      </w:pPr>
    </w:p>
    <w:p w:rsidR="005D54B4" w:rsidRPr="003276DB" w:rsidRDefault="005D54B4">
      <w:pPr>
        <w:widowControl w:val="0"/>
        <w:numPr>
          <w:ilvl w:val="0"/>
          <w:numId w:val="3"/>
        </w:numPr>
        <w:tabs>
          <w:tab w:val="clear" w:pos="720"/>
          <w:tab w:val="num" w:pos="324"/>
        </w:tabs>
        <w:overflowPunct w:val="0"/>
        <w:autoSpaceDE w:val="0"/>
        <w:autoSpaceDN w:val="0"/>
        <w:adjustRightInd w:val="0"/>
        <w:spacing w:after="0" w:line="237" w:lineRule="auto"/>
        <w:ind w:left="7" w:right="40" w:hanging="7"/>
        <w:jc w:val="both"/>
        <w:rPr>
          <w:rFonts w:ascii="Garamond" w:hAnsi="Garamond" w:cs="Times"/>
        </w:rPr>
      </w:pPr>
      <w:proofErr w:type="spellStart"/>
      <w:r w:rsidRPr="003276DB">
        <w:rPr>
          <w:rFonts w:ascii="Garamond" w:hAnsi="Garamond" w:cs="Times"/>
          <w:lang w:val="en-US"/>
        </w:rPr>
        <w:t>Lebouvier</w:t>
      </w:r>
      <w:proofErr w:type="spellEnd"/>
      <w:r w:rsidRPr="003276DB">
        <w:rPr>
          <w:rFonts w:ascii="Garamond" w:hAnsi="Garamond" w:cs="Times"/>
          <w:lang w:val="en-US"/>
        </w:rPr>
        <w:t xml:space="preserve"> T, </w:t>
      </w:r>
      <w:proofErr w:type="spellStart"/>
      <w:r w:rsidRPr="003276DB">
        <w:rPr>
          <w:rFonts w:ascii="Garamond" w:hAnsi="Garamond" w:cs="Times"/>
          <w:lang w:val="en-US"/>
        </w:rPr>
        <w:t>Coron</w:t>
      </w:r>
      <w:proofErr w:type="spellEnd"/>
      <w:r w:rsidRPr="003276DB">
        <w:rPr>
          <w:rFonts w:ascii="Garamond" w:hAnsi="Garamond" w:cs="Times"/>
          <w:lang w:val="en-US"/>
        </w:rPr>
        <w:t xml:space="preserve"> E, </w:t>
      </w:r>
      <w:proofErr w:type="spellStart"/>
      <w:r w:rsidRPr="003276DB">
        <w:rPr>
          <w:rFonts w:ascii="Garamond" w:hAnsi="Garamond" w:cs="Times"/>
          <w:lang w:val="en-US"/>
        </w:rPr>
        <w:t>Chaumette</w:t>
      </w:r>
      <w:proofErr w:type="spellEnd"/>
      <w:r w:rsidRPr="003276DB">
        <w:rPr>
          <w:rFonts w:ascii="Garamond" w:hAnsi="Garamond" w:cs="Times"/>
          <w:lang w:val="en-US"/>
        </w:rPr>
        <w:t xml:space="preserve"> T, </w:t>
      </w:r>
      <w:proofErr w:type="spellStart"/>
      <w:r w:rsidRPr="003276DB">
        <w:rPr>
          <w:rFonts w:ascii="Garamond" w:hAnsi="Garamond" w:cs="Times"/>
          <w:lang w:val="en-US"/>
        </w:rPr>
        <w:t>Paillusson</w:t>
      </w:r>
      <w:proofErr w:type="spellEnd"/>
      <w:r w:rsidRPr="003276DB">
        <w:rPr>
          <w:rFonts w:ascii="Garamond" w:hAnsi="Garamond" w:cs="Times"/>
          <w:lang w:val="en-US"/>
        </w:rPr>
        <w:t xml:space="preserve"> S, </w:t>
      </w:r>
      <w:proofErr w:type="spellStart"/>
      <w:r w:rsidRPr="003276DB">
        <w:rPr>
          <w:rFonts w:ascii="Garamond" w:hAnsi="Garamond" w:cs="Times"/>
          <w:lang w:val="en-US"/>
        </w:rPr>
        <w:t>Bruley</w:t>
      </w:r>
      <w:proofErr w:type="spellEnd"/>
      <w:r w:rsidRPr="003276DB">
        <w:rPr>
          <w:rFonts w:ascii="Garamond" w:hAnsi="Garamond" w:cs="Times"/>
          <w:lang w:val="en-US"/>
        </w:rPr>
        <w:t xml:space="preserve"> des </w:t>
      </w:r>
      <w:proofErr w:type="spellStart"/>
      <w:r w:rsidRPr="003276DB">
        <w:rPr>
          <w:rFonts w:ascii="Garamond" w:hAnsi="Garamond" w:cs="Times"/>
          <w:lang w:val="en-US"/>
        </w:rPr>
        <w:t>Varannes</w:t>
      </w:r>
      <w:proofErr w:type="spellEnd"/>
      <w:r w:rsidRPr="003276DB">
        <w:rPr>
          <w:rFonts w:ascii="Garamond" w:hAnsi="Garamond" w:cs="Times"/>
          <w:lang w:val="en-US"/>
        </w:rPr>
        <w:t xml:space="preserve"> S, M </w:t>
      </w:r>
      <w:proofErr w:type="spellStart"/>
      <w:r w:rsidRPr="003276DB">
        <w:rPr>
          <w:rFonts w:ascii="Garamond" w:hAnsi="Garamond" w:cs="Times"/>
          <w:lang w:val="en-US"/>
        </w:rPr>
        <w:t>Neunlist</w:t>
      </w:r>
      <w:proofErr w:type="spellEnd"/>
      <w:r w:rsidRPr="003276DB">
        <w:rPr>
          <w:rFonts w:ascii="Garamond" w:hAnsi="Garamond" w:cs="Times"/>
          <w:lang w:val="en-US"/>
        </w:rPr>
        <w:t xml:space="preserve">, </w:t>
      </w:r>
      <w:proofErr w:type="spellStart"/>
      <w:r w:rsidRPr="003276DB">
        <w:rPr>
          <w:rFonts w:ascii="Garamond" w:hAnsi="Garamond" w:cs="Times"/>
          <w:lang w:val="en-US"/>
        </w:rPr>
        <w:t>Derkinderen</w:t>
      </w:r>
      <w:proofErr w:type="spellEnd"/>
      <w:r w:rsidRPr="003276DB">
        <w:rPr>
          <w:rFonts w:ascii="Garamond" w:hAnsi="Garamond" w:cs="Times"/>
          <w:lang w:val="en-US"/>
        </w:rPr>
        <w:t xml:space="preserve"> P. Routine colonic biopsies as a new tool to study the enteric nervous system in living patients. </w:t>
      </w:r>
      <w:proofErr w:type="spellStart"/>
      <w:r w:rsidRPr="003276DB">
        <w:rPr>
          <w:rFonts w:ascii="Garamond" w:hAnsi="Garamond" w:cs="Times"/>
        </w:rPr>
        <w:t>Neurogastroenterol</w:t>
      </w:r>
      <w:proofErr w:type="spellEnd"/>
      <w:r w:rsidRPr="003276DB">
        <w:rPr>
          <w:rFonts w:ascii="Garamond" w:hAnsi="Garamond" w:cs="Times"/>
        </w:rPr>
        <w:t xml:space="preserve"> </w:t>
      </w:r>
      <w:proofErr w:type="spellStart"/>
      <w:r w:rsidRPr="003276DB">
        <w:rPr>
          <w:rFonts w:ascii="Garamond" w:hAnsi="Garamond" w:cs="Times"/>
        </w:rPr>
        <w:t>Motil</w:t>
      </w:r>
      <w:proofErr w:type="spellEnd"/>
      <w:r w:rsidRPr="003276DB">
        <w:rPr>
          <w:rFonts w:ascii="Garamond" w:hAnsi="Garamond" w:cs="Times"/>
        </w:rPr>
        <w:t xml:space="preserve"> 2010; 22: e11-14. </w:t>
      </w:r>
    </w:p>
    <w:p w:rsidR="005D54B4" w:rsidRPr="003276DB" w:rsidRDefault="005D54B4">
      <w:pPr>
        <w:widowControl w:val="0"/>
        <w:autoSpaceDE w:val="0"/>
        <w:autoSpaceDN w:val="0"/>
        <w:adjustRightInd w:val="0"/>
        <w:spacing w:after="0" w:line="81" w:lineRule="exact"/>
        <w:rPr>
          <w:rFonts w:ascii="Garamond" w:hAnsi="Garamond" w:cs="Times"/>
        </w:rPr>
      </w:pPr>
    </w:p>
    <w:p w:rsidR="005D54B4" w:rsidRPr="003276DB" w:rsidRDefault="005D54B4">
      <w:pPr>
        <w:widowControl w:val="0"/>
        <w:numPr>
          <w:ilvl w:val="0"/>
          <w:numId w:val="3"/>
        </w:numPr>
        <w:tabs>
          <w:tab w:val="clear" w:pos="720"/>
          <w:tab w:val="num" w:pos="247"/>
        </w:tabs>
        <w:overflowPunct w:val="0"/>
        <w:autoSpaceDE w:val="0"/>
        <w:autoSpaceDN w:val="0"/>
        <w:adjustRightInd w:val="0"/>
        <w:spacing w:after="0" w:line="240" w:lineRule="auto"/>
        <w:ind w:left="247" w:hanging="247"/>
        <w:jc w:val="both"/>
        <w:rPr>
          <w:rFonts w:ascii="Garamond" w:hAnsi="Garamond" w:cs="Times"/>
          <w:lang w:val="en-US"/>
        </w:rPr>
      </w:pPr>
      <w:proofErr w:type="spellStart"/>
      <w:r w:rsidRPr="003276DB">
        <w:rPr>
          <w:rFonts w:ascii="Garamond" w:hAnsi="Garamond" w:cs="Times"/>
          <w:lang w:val="en-US"/>
        </w:rPr>
        <w:t>Weerkamp</w:t>
      </w:r>
      <w:proofErr w:type="spellEnd"/>
      <w:r w:rsidRPr="003276DB">
        <w:rPr>
          <w:rFonts w:ascii="Garamond" w:hAnsi="Garamond" w:cs="Times"/>
          <w:lang w:val="en-US"/>
        </w:rPr>
        <w:t xml:space="preserve"> NJ, </w:t>
      </w:r>
      <w:proofErr w:type="spellStart"/>
      <w:r w:rsidRPr="003276DB">
        <w:rPr>
          <w:rFonts w:ascii="Garamond" w:hAnsi="Garamond" w:cs="Times"/>
          <w:lang w:val="en-US"/>
        </w:rPr>
        <w:t>Tissingh</w:t>
      </w:r>
      <w:proofErr w:type="spellEnd"/>
      <w:r w:rsidRPr="003276DB">
        <w:rPr>
          <w:rFonts w:ascii="Garamond" w:hAnsi="Garamond" w:cs="Times"/>
          <w:lang w:val="en-US"/>
        </w:rPr>
        <w:t xml:space="preserve"> G, </w:t>
      </w:r>
      <w:proofErr w:type="spellStart"/>
      <w:r w:rsidRPr="003276DB">
        <w:rPr>
          <w:rFonts w:ascii="Garamond" w:hAnsi="Garamond" w:cs="Times"/>
          <w:lang w:val="en-US"/>
        </w:rPr>
        <w:t>Poels</w:t>
      </w:r>
      <w:proofErr w:type="spellEnd"/>
      <w:r w:rsidRPr="003276DB">
        <w:rPr>
          <w:rFonts w:ascii="Garamond" w:hAnsi="Garamond" w:cs="Times"/>
          <w:lang w:val="en-US"/>
        </w:rPr>
        <w:t xml:space="preserve"> PJ, </w:t>
      </w:r>
      <w:proofErr w:type="spellStart"/>
      <w:r w:rsidRPr="003276DB">
        <w:rPr>
          <w:rFonts w:ascii="Garamond" w:hAnsi="Garamond" w:cs="Times"/>
          <w:lang w:val="en-US"/>
        </w:rPr>
        <w:t>Zuidema</w:t>
      </w:r>
      <w:proofErr w:type="spellEnd"/>
      <w:r w:rsidRPr="003276DB">
        <w:rPr>
          <w:rFonts w:ascii="Garamond" w:hAnsi="Garamond" w:cs="Times"/>
          <w:lang w:val="en-US"/>
        </w:rPr>
        <w:t xml:space="preserve"> SU, </w:t>
      </w:r>
      <w:proofErr w:type="spellStart"/>
      <w:r w:rsidRPr="003276DB">
        <w:rPr>
          <w:rFonts w:ascii="Garamond" w:hAnsi="Garamond" w:cs="Times"/>
          <w:lang w:val="en-US"/>
        </w:rPr>
        <w:t>Munneke</w:t>
      </w:r>
      <w:proofErr w:type="spellEnd"/>
      <w:r w:rsidRPr="003276DB">
        <w:rPr>
          <w:rFonts w:ascii="Garamond" w:hAnsi="Garamond" w:cs="Times"/>
          <w:lang w:val="en-US"/>
        </w:rPr>
        <w:t xml:space="preserve"> M, Koopmans RT, </w:t>
      </w:r>
      <w:proofErr w:type="spellStart"/>
      <w:r w:rsidRPr="003276DB">
        <w:rPr>
          <w:rFonts w:ascii="Garamond" w:hAnsi="Garamond" w:cs="Times"/>
          <w:lang w:val="en-US"/>
        </w:rPr>
        <w:t>Bloem</w:t>
      </w:r>
      <w:proofErr w:type="spellEnd"/>
      <w:r w:rsidRPr="003276DB">
        <w:rPr>
          <w:rFonts w:ascii="Garamond" w:hAnsi="Garamond" w:cs="Times"/>
          <w:lang w:val="en-US"/>
        </w:rPr>
        <w:t xml:space="preserve"> BR. </w:t>
      </w:r>
    </w:p>
    <w:p w:rsidR="005D54B4" w:rsidRPr="003276DB" w:rsidRDefault="005D54B4">
      <w:pPr>
        <w:widowControl w:val="0"/>
        <w:autoSpaceDE w:val="0"/>
        <w:autoSpaceDN w:val="0"/>
        <w:adjustRightInd w:val="0"/>
        <w:spacing w:after="0" w:line="87" w:lineRule="exact"/>
        <w:rPr>
          <w:rFonts w:ascii="Garamond" w:hAnsi="Garamond"/>
          <w:lang w:val="en-US"/>
        </w:rPr>
      </w:pPr>
    </w:p>
    <w:p w:rsidR="005D54B4" w:rsidRPr="003276DB" w:rsidRDefault="005D54B4">
      <w:pPr>
        <w:widowControl w:val="0"/>
        <w:overflowPunct w:val="0"/>
        <w:autoSpaceDE w:val="0"/>
        <w:autoSpaceDN w:val="0"/>
        <w:adjustRightInd w:val="0"/>
        <w:spacing w:after="0" w:line="236" w:lineRule="auto"/>
        <w:ind w:left="7" w:right="220"/>
        <w:rPr>
          <w:rFonts w:ascii="Garamond" w:hAnsi="Garamond"/>
          <w:lang w:val="en-US"/>
        </w:rPr>
      </w:pPr>
      <w:proofErr w:type="spellStart"/>
      <w:r w:rsidRPr="003276DB">
        <w:rPr>
          <w:rFonts w:ascii="Garamond" w:hAnsi="Garamond" w:cs="Times"/>
          <w:lang w:val="en-US"/>
        </w:rPr>
        <w:t>Nonmotor</w:t>
      </w:r>
      <w:proofErr w:type="spellEnd"/>
      <w:r w:rsidRPr="003276DB">
        <w:rPr>
          <w:rFonts w:ascii="Garamond" w:hAnsi="Garamond" w:cs="Times"/>
          <w:lang w:val="en-US"/>
        </w:rPr>
        <w:t xml:space="preserve"> symptoms in nursing home residents with Parkinson's disease: prevalence and effect on quality of life. J Am </w:t>
      </w:r>
      <w:proofErr w:type="spellStart"/>
      <w:r w:rsidRPr="003276DB">
        <w:rPr>
          <w:rFonts w:ascii="Garamond" w:hAnsi="Garamond" w:cs="Times"/>
          <w:lang w:val="en-US"/>
        </w:rPr>
        <w:t>Geriatr</w:t>
      </w:r>
      <w:proofErr w:type="spellEnd"/>
      <w:r w:rsidRPr="003276DB">
        <w:rPr>
          <w:rFonts w:ascii="Garamond" w:hAnsi="Garamond" w:cs="Times"/>
          <w:lang w:val="en-US"/>
        </w:rPr>
        <w:t xml:space="preserve"> </w:t>
      </w:r>
      <w:proofErr w:type="spellStart"/>
      <w:r w:rsidRPr="003276DB">
        <w:rPr>
          <w:rFonts w:ascii="Garamond" w:hAnsi="Garamond" w:cs="Times"/>
          <w:lang w:val="en-US"/>
        </w:rPr>
        <w:t>Soc</w:t>
      </w:r>
      <w:proofErr w:type="spellEnd"/>
      <w:r w:rsidRPr="003276DB">
        <w:rPr>
          <w:rFonts w:ascii="Garamond" w:hAnsi="Garamond" w:cs="Times"/>
          <w:lang w:val="en-US"/>
        </w:rPr>
        <w:t xml:space="preserve"> 2013; 61:1714-1721.</w:t>
      </w:r>
    </w:p>
    <w:p w:rsidR="005D54B4" w:rsidRPr="003276DB" w:rsidRDefault="005D54B4">
      <w:pPr>
        <w:widowControl w:val="0"/>
        <w:autoSpaceDE w:val="0"/>
        <w:autoSpaceDN w:val="0"/>
        <w:adjustRightInd w:val="0"/>
        <w:spacing w:after="0" w:line="88" w:lineRule="exact"/>
        <w:rPr>
          <w:rFonts w:ascii="Garamond" w:hAnsi="Garamond"/>
          <w:lang w:val="en-US"/>
        </w:rPr>
      </w:pPr>
    </w:p>
    <w:p w:rsidR="005D54B4" w:rsidRPr="003276DB" w:rsidRDefault="005D54B4" w:rsidP="003276DB">
      <w:pPr>
        <w:widowControl w:val="0"/>
        <w:overflowPunct w:val="0"/>
        <w:autoSpaceDE w:val="0"/>
        <w:autoSpaceDN w:val="0"/>
        <w:adjustRightInd w:val="0"/>
        <w:spacing w:after="0" w:line="238" w:lineRule="auto"/>
        <w:ind w:left="7" w:right="220"/>
        <w:rPr>
          <w:rFonts w:ascii="Garamond" w:hAnsi="Garamond"/>
        </w:rPr>
      </w:pPr>
      <w:r w:rsidRPr="003276DB">
        <w:rPr>
          <w:rFonts w:ascii="Garamond" w:hAnsi="Garamond" w:cs="Times"/>
          <w:lang w:val="en-US"/>
        </w:rPr>
        <w:t>10. Bernard CE, Gibbons SJ, Gomez-</w:t>
      </w:r>
      <w:proofErr w:type="spellStart"/>
      <w:r w:rsidRPr="003276DB">
        <w:rPr>
          <w:rFonts w:ascii="Garamond" w:hAnsi="Garamond" w:cs="Times"/>
          <w:lang w:val="en-US"/>
        </w:rPr>
        <w:t>Pinilla</w:t>
      </w:r>
      <w:proofErr w:type="spellEnd"/>
      <w:r w:rsidRPr="003276DB">
        <w:rPr>
          <w:rFonts w:ascii="Garamond" w:hAnsi="Garamond" w:cs="Times"/>
          <w:lang w:val="en-US"/>
        </w:rPr>
        <w:t xml:space="preserve"> PJ, </w:t>
      </w:r>
      <w:proofErr w:type="spellStart"/>
      <w:r w:rsidRPr="003276DB">
        <w:rPr>
          <w:rFonts w:ascii="Garamond" w:hAnsi="Garamond" w:cs="Times"/>
          <w:lang w:val="en-US"/>
        </w:rPr>
        <w:t>Lurken</w:t>
      </w:r>
      <w:proofErr w:type="spellEnd"/>
      <w:r w:rsidRPr="003276DB">
        <w:rPr>
          <w:rFonts w:ascii="Garamond" w:hAnsi="Garamond" w:cs="Times"/>
          <w:lang w:val="en-US"/>
        </w:rPr>
        <w:t xml:space="preserve"> MS, </w:t>
      </w:r>
      <w:proofErr w:type="spellStart"/>
      <w:r w:rsidRPr="003276DB">
        <w:rPr>
          <w:rFonts w:ascii="Garamond" w:hAnsi="Garamond" w:cs="Times"/>
          <w:lang w:val="en-US"/>
        </w:rPr>
        <w:t>Schmalz</w:t>
      </w:r>
      <w:proofErr w:type="spellEnd"/>
      <w:r w:rsidRPr="003276DB">
        <w:rPr>
          <w:rFonts w:ascii="Garamond" w:hAnsi="Garamond" w:cs="Times"/>
          <w:lang w:val="en-US"/>
        </w:rPr>
        <w:t xml:space="preserve"> PF, Roeder JL, Linden D, </w:t>
      </w:r>
      <w:proofErr w:type="spellStart"/>
      <w:r w:rsidRPr="003276DB">
        <w:rPr>
          <w:rFonts w:ascii="Garamond" w:hAnsi="Garamond" w:cs="Times"/>
          <w:lang w:val="en-US"/>
        </w:rPr>
        <w:t>Cima</w:t>
      </w:r>
      <w:proofErr w:type="spellEnd"/>
      <w:r w:rsidRPr="003276DB">
        <w:rPr>
          <w:rFonts w:ascii="Garamond" w:hAnsi="Garamond" w:cs="Times"/>
          <w:lang w:val="en-US"/>
        </w:rPr>
        <w:t xml:space="preserve"> RR, </w:t>
      </w:r>
      <w:proofErr w:type="spellStart"/>
      <w:r w:rsidRPr="003276DB">
        <w:rPr>
          <w:rFonts w:ascii="Garamond" w:hAnsi="Garamond" w:cs="Times"/>
          <w:lang w:val="en-US"/>
        </w:rPr>
        <w:t>Dozois</w:t>
      </w:r>
      <w:proofErr w:type="spellEnd"/>
      <w:r w:rsidRPr="003276DB">
        <w:rPr>
          <w:rFonts w:ascii="Garamond" w:hAnsi="Garamond" w:cs="Times"/>
          <w:lang w:val="en-US"/>
        </w:rPr>
        <w:t xml:space="preserve"> EJ, Larson DW, </w:t>
      </w:r>
      <w:proofErr w:type="spellStart"/>
      <w:r w:rsidRPr="003276DB">
        <w:rPr>
          <w:rFonts w:ascii="Garamond" w:hAnsi="Garamond" w:cs="Times"/>
          <w:lang w:val="en-US"/>
        </w:rPr>
        <w:t>Camilleri</w:t>
      </w:r>
      <w:proofErr w:type="spellEnd"/>
      <w:r w:rsidRPr="003276DB">
        <w:rPr>
          <w:rFonts w:ascii="Garamond" w:hAnsi="Garamond" w:cs="Times"/>
          <w:lang w:val="en-US"/>
        </w:rPr>
        <w:t xml:space="preserve"> M, </w:t>
      </w:r>
      <w:proofErr w:type="spellStart"/>
      <w:r w:rsidRPr="003276DB">
        <w:rPr>
          <w:rFonts w:ascii="Garamond" w:hAnsi="Garamond" w:cs="Times"/>
          <w:lang w:val="en-US"/>
        </w:rPr>
        <w:t>Zinsmeister</w:t>
      </w:r>
      <w:proofErr w:type="spellEnd"/>
      <w:r w:rsidRPr="003276DB">
        <w:rPr>
          <w:rFonts w:ascii="Garamond" w:hAnsi="Garamond" w:cs="Times"/>
          <w:lang w:val="en-US"/>
        </w:rPr>
        <w:t xml:space="preserve"> AR, </w:t>
      </w:r>
      <w:proofErr w:type="spellStart"/>
      <w:r w:rsidRPr="003276DB">
        <w:rPr>
          <w:rFonts w:ascii="Garamond" w:hAnsi="Garamond" w:cs="Times"/>
          <w:lang w:val="en-US"/>
        </w:rPr>
        <w:t>Pozo</w:t>
      </w:r>
      <w:proofErr w:type="spellEnd"/>
      <w:r w:rsidRPr="003276DB">
        <w:rPr>
          <w:rFonts w:ascii="Garamond" w:hAnsi="Garamond" w:cs="Times"/>
          <w:lang w:val="en-US"/>
        </w:rPr>
        <w:t xml:space="preserve"> MJ, Hicks GA, </w:t>
      </w:r>
      <w:proofErr w:type="spellStart"/>
      <w:r w:rsidRPr="003276DB">
        <w:rPr>
          <w:rFonts w:ascii="Garamond" w:hAnsi="Garamond" w:cs="Times"/>
          <w:lang w:val="en-US"/>
        </w:rPr>
        <w:t>Farrugia</w:t>
      </w:r>
      <w:proofErr w:type="spellEnd"/>
      <w:r w:rsidRPr="003276DB">
        <w:rPr>
          <w:rFonts w:ascii="Garamond" w:hAnsi="Garamond" w:cs="Times"/>
          <w:lang w:val="en-US"/>
        </w:rPr>
        <w:t xml:space="preserve"> G. Effect of age on the enteric nervous system of the human colon. </w:t>
      </w:r>
      <w:proofErr w:type="spellStart"/>
      <w:r w:rsidRPr="003276DB">
        <w:rPr>
          <w:rFonts w:ascii="Garamond" w:hAnsi="Garamond" w:cs="Times"/>
        </w:rPr>
        <w:t>Neurogastroenterol</w:t>
      </w:r>
      <w:proofErr w:type="spellEnd"/>
      <w:r w:rsidRPr="003276DB">
        <w:rPr>
          <w:rFonts w:ascii="Garamond" w:hAnsi="Garamond" w:cs="Times"/>
        </w:rPr>
        <w:t xml:space="preserve"> </w:t>
      </w:r>
      <w:proofErr w:type="spellStart"/>
      <w:r w:rsidRPr="003276DB">
        <w:rPr>
          <w:rFonts w:ascii="Garamond" w:hAnsi="Garamond" w:cs="Times"/>
        </w:rPr>
        <w:t>Motil</w:t>
      </w:r>
      <w:proofErr w:type="spellEnd"/>
      <w:r w:rsidRPr="003276DB">
        <w:rPr>
          <w:rFonts w:ascii="Garamond" w:hAnsi="Garamond" w:cs="Times"/>
        </w:rPr>
        <w:t xml:space="preserve"> 2009; 21:746-e46.</w:t>
      </w:r>
    </w:p>
    <w:sectPr w:rsidR="005D54B4" w:rsidRPr="003276DB">
      <w:pgSz w:w="11900" w:h="16840"/>
      <w:pgMar w:top="1418" w:right="1080" w:bottom="544" w:left="1133" w:header="720" w:footer="720" w:gutter="0"/>
      <w:cols w:space="720" w:equalWidth="0">
        <w:col w:w="968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124"/>
    <w:rsid w:val="003276DB"/>
    <w:rsid w:val="005D54B4"/>
    <w:rsid w:val="00BE3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2126</Words>
  <Characters>12119</Characters>
  <Application>Microsoft Office Word</Application>
  <DocSecurity>0</DocSecurity>
  <Lines>100</Lines>
  <Paragraphs>28</Paragraphs>
  <ScaleCrop>false</ScaleCrop>
  <Company>Microsoft</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Frontera</dc:creator>
  <cp:lastModifiedBy>Paola Frontera</cp:lastModifiedBy>
  <cp:revision>2</cp:revision>
  <dcterms:created xsi:type="dcterms:W3CDTF">2014-01-29T10:23:00Z</dcterms:created>
  <dcterms:modified xsi:type="dcterms:W3CDTF">2014-01-29T10:23:00Z</dcterms:modified>
</cp:coreProperties>
</file>