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5E" w:rsidRDefault="005F7C5E" w:rsidP="00DE258D">
      <w:pPr>
        <w:spacing w:after="0"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STORIA, GENETICA E GENOMICA DEGLI YAGHNOBI DEL TAJIKISTAN</w:t>
      </w:r>
    </w:p>
    <w:p w:rsidR="005F7C5E" w:rsidRDefault="005F7C5E" w:rsidP="00DE258D">
      <w:pPr>
        <w:spacing w:after="0" w:line="360" w:lineRule="auto"/>
        <w:jc w:val="center"/>
        <w:rPr>
          <w:rFonts w:ascii="Garamond" w:hAnsi="Garamond" w:cs="Arial"/>
          <w:b/>
        </w:rPr>
      </w:pPr>
    </w:p>
    <w:p w:rsidR="00C30091" w:rsidRPr="005F7C5E" w:rsidRDefault="00C30091" w:rsidP="00DE258D">
      <w:pPr>
        <w:spacing w:after="0" w:line="360" w:lineRule="auto"/>
        <w:jc w:val="center"/>
        <w:rPr>
          <w:rFonts w:ascii="Garamond" w:hAnsi="Garamond" w:cs="Arial"/>
          <w:b/>
        </w:rPr>
      </w:pPr>
      <w:r w:rsidRPr="005F7C5E">
        <w:rPr>
          <w:rFonts w:ascii="Garamond" w:hAnsi="Garamond" w:cs="Arial"/>
          <w:b/>
        </w:rPr>
        <w:t>Ricerche di storia, genetica e genomica di una popolazione di alto interesse antropologico:</w:t>
      </w:r>
    </w:p>
    <w:p w:rsidR="00C30091" w:rsidRDefault="005F7C5E" w:rsidP="00DE258D">
      <w:pPr>
        <w:spacing w:after="0" w:line="360" w:lineRule="auto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gli </w:t>
      </w:r>
      <w:proofErr w:type="spellStart"/>
      <w:r>
        <w:rPr>
          <w:rFonts w:ascii="Garamond" w:hAnsi="Garamond" w:cs="Arial"/>
          <w:b/>
        </w:rPr>
        <w:t>Yaghnobi</w:t>
      </w:r>
      <w:proofErr w:type="spellEnd"/>
      <w:r>
        <w:rPr>
          <w:rFonts w:ascii="Garamond" w:hAnsi="Garamond" w:cs="Arial"/>
          <w:b/>
        </w:rPr>
        <w:t xml:space="preserve"> del Tajikistan</w:t>
      </w:r>
    </w:p>
    <w:p w:rsidR="005F7C5E" w:rsidRPr="005F7C5E" w:rsidRDefault="005F7C5E" w:rsidP="00DE258D">
      <w:pPr>
        <w:spacing w:after="0" w:line="360" w:lineRule="auto"/>
        <w:jc w:val="center"/>
        <w:rPr>
          <w:rFonts w:ascii="Garamond" w:hAnsi="Garamond" w:cs="Arial"/>
          <w:b/>
        </w:rPr>
      </w:pPr>
    </w:p>
    <w:p w:rsidR="005F7C5E" w:rsidRDefault="0017697B" w:rsidP="005F7C5E">
      <w:pPr>
        <w:spacing w:after="0" w:line="360" w:lineRule="auto"/>
        <w:jc w:val="center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Prof. Giorgio </w:t>
      </w:r>
      <w:proofErr w:type="spellStart"/>
      <w:r w:rsidRPr="005F7C5E">
        <w:rPr>
          <w:rFonts w:ascii="Garamond" w:hAnsi="Garamond" w:cs="Arial"/>
        </w:rPr>
        <w:t>Gruppioni</w:t>
      </w:r>
      <w:proofErr w:type="spellEnd"/>
    </w:p>
    <w:p w:rsidR="0017697B" w:rsidRPr="005F7C5E" w:rsidRDefault="0017697B" w:rsidP="0017697B">
      <w:pPr>
        <w:spacing w:after="0" w:line="360" w:lineRule="auto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Laboratorio di Antropologia molecolare e </w:t>
      </w:r>
      <w:proofErr w:type="spellStart"/>
      <w:r w:rsidRPr="005F7C5E">
        <w:rPr>
          <w:rFonts w:ascii="Garamond" w:hAnsi="Garamond" w:cs="Arial"/>
        </w:rPr>
        <w:t>archeogenetica</w:t>
      </w:r>
      <w:proofErr w:type="spellEnd"/>
      <w:r w:rsidRPr="005F7C5E">
        <w:rPr>
          <w:rFonts w:ascii="Garamond" w:hAnsi="Garamond" w:cs="Arial"/>
        </w:rPr>
        <w:t xml:space="preserve"> Dipartimento di Beni   Culturali - DBC - Università di Bologna (sede di Ravenna) </w:t>
      </w:r>
      <w:proofErr w:type="spellStart"/>
      <w:r w:rsidRPr="005F7C5E">
        <w:rPr>
          <w:rFonts w:ascii="Garamond" w:hAnsi="Garamond" w:cs="Arial"/>
          <w:u w:val="single"/>
        </w:rPr>
        <w:t>Sottoprogetto</w:t>
      </w:r>
      <w:proofErr w:type="spellEnd"/>
      <w:r w:rsidRPr="005F7C5E">
        <w:rPr>
          <w:rFonts w:ascii="Garamond" w:hAnsi="Garamond" w:cs="Arial"/>
          <w:u w:val="single"/>
        </w:rPr>
        <w:t xml:space="preserve"> 2</w:t>
      </w:r>
    </w:p>
    <w:p w:rsidR="0017697B" w:rsidRPr="005F7C5E" w:rsidRDefault="0017697B" w:rsidP="0017697B">
      <w:pPr>
        <w:spacing w:after="0" w:line="360" w:lineRule="auto"/>
        <w:rPr>
          <w:rFonts w:ascii="Garamond" w:hAnsi="Garamond" w:cs="Arial"/>
        </w:rPr>
      </w:pPr>
    </w:p>
    <w:p w:rsidR="0017697B" w:rsidRPr="005F7C5E" w:rsidRDefault="00343B60" w:rsidP="0017697B">
      <w:pPr>
        <w:spacing w:after="0" w:line="360" w:lineRule="auto"/>
        <w:rPr>
          <w:rFonts w:ascii="Garamond" w:hAnsi="Garamond" w:cs="Arial"/>
        </w:rPr>
      </w:pPr>
      <w:proofErr w:type="spellStart"/>
      <w:r w:rsidRPr="005F7C5E">
        <w:rPr>
          <w:rFonts w:ascii="Garamond" w:hAnsi="Garamond" w:cs="Arial"/>
          <w:u w:val="single"/>
        </w:rPr>
        <w:t>Sottoprogetto</w:t>
      </w:r>
      <w:proofErr w:type="spellEnd"/>
      <w:r w:rsidRPr="005F7C5E">
        <w:rPr>
          <w:rFonts w:ascii="Garamond" w:hAnsi="Garamond" w:cs="Arial"/>
          <w:u w:val="single"/>
        </w:rPr>
        <w:t xml:space="preserve"> </w:t>
      </w:r>
      <w:r w:rsidRPr="005F7C5E">
        <w:rPr>
          <w:rFonts w:ascii="Garamond" w:hAnsi="Garamond" w:cs="Arial"/>
        </w:rPr>
        <w:t xml:space="preserve">1: </w:t>
      </w:r>
      <w:r w:rsidR="0017697B" w:rsidRPr="005F7C5E">
        <w:rPr>
          <w:rFonts w:ascii="Garamond" w:hAnsi="Garamond" w:cs="Arial"/>
        </w:rPr>
        <w:t xml:space="preserve">Dott. Paolo </w:t>
      </w:r>
      <w:proofErr w:type="spellStart"/>
      <w:r w:rsidR="0017697B" w:rsidRPr="005F7C5E">
        <w:rPr>
          <w:rFonts w:ascii="Garamond" w:hAnsi="Garamond" w:cs="Arial"/>
        </w:rPr>
        <w:t>Delaini</w:t>
      </w:r>
      <w:proofErr w:type="spellEnd"/>
      <w:r w:rsidR="0017697B" w:rsidRPr="005F7C5E">
        <w:rPr>
          <w:rFonts w:ascii="Garamond" w:hAnsi="Garamond" w:cs="Arial"/>
        </w:rPr>
        <w:t xml:space="preserve"> Dipartimento di Beni Culturali - Università di Bologna (sede di Ravenna) </w:t>
      </w:r>
    </w:p>
    <w:p w:rsidR="0017697B" w:rsidRPr="005F7C5E" w:rsidRDefault="00343B60" w:rsidP="0017697B">
      <w:pPr>
        <w:spacing w:after="0" w:line="360" w:lineRule="auto"/>
        <w:rPr>
          <w:rFonts w:ascii="Garamond" w:hAnsi="Garamond" w:cs="Arial"/>
        </w:rPr>
      </w:pPr>
      <w:proofErr w:type="spellStart"/>
      <w:r w:rsidRPr="005F7C5E">
        <w:rPr>
          <w:rFonts w:ascii="Garamond" w:hAnsi="Garamond" w:cs="Arial"/>
          <w:u w:val="single"/>
        </w:rPr>
        <w:t>Sottoprogetto</w:t>
      </w:r>
      <w:proofErr w:type="spellEnd"/>
      <w:r w:rsidRPr="005F7C5E">
        <w:rPr>
          <w:rFonts w:ascii="Garamond" w:hAnsi="Garamond" w:cs="Arial"/>
          <w:u w:val="single"/>
        </w:rPr>
        <w:t xml:space="preserve"> </w:t>
      </w:r>
      <w:r w:rsidRPr="005F7C5E">
        <w:rPr>
          <w:rFonts w:ascii="Garamond" w:hAnsi="Garamond" w:cs="Arial"/>
        </w:rPr>
        <w:t xml:space="preserve">3: </w:t>
      </w:r>
      <w:r w:rsidR="0017697B" w:rsidRPr="005F7C5E">
        <w:rPr>
          <w:rFonts w:ascii="Garamond" w:hAnsi="Garamond" w:cs="Arial"/>
        </w:rPr>
        <w:t>Dott.ssa Sabrina Angelini Laboratorio di Farmacogenetica e Farmacogenomica -         Dipartimento di Farmacia e Biotecnologie (</w:t>
      </w:r>
      <w:proofErr w:type="spellStart"/>
      <w:r w:rsidR="0017697B" w:rsidRPr="005F7C5E">
        <w:rPr>
          <w:rFonts w:ascii="Garamond" w:hAnsi="Garamond" w:cs="Arial"/>
        </w:rPr>
        <w:t>FaBiT</w:t>
      </w:r>
      <w:proofErr w:type="spellEnd"/>
      <w:r w:rsidR="0017697B" w:rsidRPr="005F7C5E">
        <w:rPr>
          <w:rFonts w:ascii="Garamond" w:hAnsi="Garamond" w:cs="Arial"/>
        </w:rPr>
        <w:t xml:space="preserve">) - Università di Bologna </w:t>
      </w:r>
    </w:p>
    <w:p w:rsidR="0017697B" w:rsidRPr="005F7C5E" w:rsidRDefault="00343B60" w:rsidP="0017697B">
      <w:pPr>
        <w:spacing w:after="0" w:line="360" w:lineRule="auto"/>
        <w:rPr>
          <w:rFonts w:ascii="Garamond" w:hAnsi="Garamond" w:cs="Arial"/>
          <w:b/>
        </w:rPr>
      </w:pPr>
      <w:proofErr w:type="spellStart"/>
      <w:r w:rsidRPr="005F7C5E">
        <w:rPr>
          <w:rFonts w:ascii="Garamond" w:hAnsi="Garamond" w:cs="Arial"/>
          <w:u w:val="single"/>
        </w:rPr>
        <w:t>Sottoprogetto</w:t>
      </w:r>
      <w:proofErr w:type="spellEnd"/>
      <w:r w:rsidRPr="005F7C5E">
        <w:rPr>
          <w:rFonts w:ascii="Garamond" w:hAnsi="Garamond" w:cs="Arial"/>
          <w:u w:val="single"/>
        </w:rPr>
        <w:t xml:space="preserve"> </w:t>
      </w:r>
      <w:r w:rsidRPr="005F7C5E">
        <w:rPr>
          <w:rFonts w:ascii="Garamond" w:hAnsi="Garamond" w:cs="Arial"/>
        </w:rPr>
        <w:t xml:space="preserve">4: </w:t>
      </w:r>
      <w:r w:rsidR="0017697B" w:rsidRPr="005F7C5E">
        <w:rPr>
          <w:rFonts w:ascii="Garamond" w:hAnsi="Garamond" w:cs="Arial"/>
        </w:rPr>
        <w:t xml:space="preserve">Prof.ssa Susi </w:t>
      </w:r>
      <w:proofErr w:type="spellStart"/>
      <w:r w:rsidR="0017697B" w:rsidRPr="005F7C5E">
        <w:rPr>
          <w:rFonts w:ascii="Garamond" w:hAnsi="Garamond" w:cs="Arial"/>
        </w:rPr>
        <w:t>Pelotti</w:t>
      </w:r>
      <w:proofErr w:type="spellEnd"/>
      <w:r w:rsidR="0017697B" w:rsidRPr="005F7C5E">
        <w:rPr>
          <w:rFonts w:ascii="Garamond" w:hAnsi="Garamond" w:cs="Arial"/>
        </w:rPr>
        <w:t xml:space="preserve"> Laboratorio di Genetica forense – Dipartimento di Scienze Mediche e Chirurgiche - Università di Bologna </w:t>
      </w:r>
    </w:p>
    <w:p w:rsidR="00C30091" w:rsidRPr="005F7C5E" w:rsidRDefault="00C30091" w:rsidP="006F6D4A">
      <w:pPr>
        <w:spacing w:after="0" w:line="360" w:lineRule="auto"/>
        <w:jc w:val="center"/>
        <w:rPr>
          <w:rFonts w:ascii="Garamond" w:hAnsi="Garamond" w:cs="Arial"/>
          <w:b/>
        </w:rPr>
      </w:pPr>
    </w:p>
    <w:p w:rsidR="00C30091" w:rsidRPr="005F7C5E" w:rsidRDefault="00C30091" w:rsidP="00A92BE7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Tahoma"/>
          <w:lang w:eastAsia="it-IT"/>
        </w:rPr>
        <w:t xml:space="preserve">Nella alta valle del fiume </w:t>
      </w:r>
      <w:proofErr w:type="spellStart"/>
      <w:r w:rsidRPr="005F7C5E">
        <w:rPr>
          <w:rFonts w:ascii="Garamond" w:hAnsi="Garamond" w:cs="Tahoma"/>
          <w:lang w:eastAsia="it-IT"/>
        </w:rPr>
        <w:t>Yaghnob</w:t>
      </w:r>
      <w:proofErr w:type="spellEnd"/>
      <w:r w:rsidRPr="005F7C5E">
        <w:rPr>
          <w:rFonts w:ascii="Garamond" w:hAnsi="Garamond" w:cs="Tahoma"/>
          <w:lang w:eastAsia="it-IT"/>
        </w:rPr>
        <w:t xml:space="preserve"> nel Tajikistan settentrionale, le caratteristiche ambientali, sociali e gli stili di vita sono rimasti inalterati nel corso dei secoli. Ciò ha permesso la conservazione di un patrimonio genetico immutato nella popolazione </w:t>
      </w:r>
      <w:proofErr w:type="spellStart"/>
      <w:r w:rsidRPr="005F7C5E">
        <w:rPr>
          <w:rFonts w:ascii="Garamond" w:hAnsi="Garamond" w:cs="Tahoma"/>
          <w:lang w:eastAsia="it-IT"/>
        </w:rPr>
        <w:t>Yaghnobi</w:t>
      </w:r>
      <w:proofErr w:type="spellEnd"/>
      <w:r w:rsidRPr="005F7C5E">
        <w:rPr>
          <w:rFonts w:ascii="Garamond" w:hAnsi="Garamond" w:cs="Tahoma"/>
          <w:lang w:eastAsia="it-IT"/>
        </w:rPr>
        <w:t xml:space="preserve">, tale da poterla candidare come un potenziale "isolato genetico", ovvero un gruppo umano </w:t>
      </w:r>
      <w:r w:rsidRPr="005F7C5E">
        <w:rPr>
          <w:rFonts w:ascii="Garamond" w:hAnsi="Garamond" w:cs="Arial"/>
        </w:rPr>
        <w:t>dotato di una ben definita identità biologica, culturale e ambientale, le cui caratteristiche genetiche si sono preservate nel tempo in seguito a condizioni di isolamento riproduttivo. Gli isolati genetici rappresentano dei veri e propri laboratori biologici naturali, ideali per indagini di genetica di popolazione, per ricerche sui meccanismi di selez</w:t>
      </w:r>
      <w:r w:rsidR="00747FE7" w:rsidRPr="005F7C5E">
        <w:rPr>
          <w:rFonts w:ascii="Garamond" w:hAnsi="Garamond" w:cs="Arial"/>
        </w:rPr>
        <w:t xml:space="preserve">ione e adattamento ambientale, </w:t>
      </w:r>
      <w:r w:rsidRPr="005F7C5E">
        <w:rPr>
          <w:rFonts w:ascii="Garamond" w:hAnsi="Garamond" w:cs="Arial"/>
        </w:rPr>
        <w:t>per lo st</w:t>
      </w:r>
      <w:r w:rsidR="00747FE7" w:rsidRPr="005F7C5E">
        <w:rPr>
          <w:rFonts w:ascii="Garamond" w:hAnsi="Garamond" w:cs="Arial"/>
        </w:rPr>
        <w:t xml:space="preserve">udio delle malattie ereditarie, per </w:t>
      </w:r>
      <w:r w:rsidRPr="005F7C5E">
        <w:rPr>
          <w:rFonts w:ascii="Garamond" w:hAnsi="Garamond" w:cs="Arial"/>
        </w:rPr>
        <w:t>la identificazione dei tratti genetici associati alla suscettibilità o alla resistenza a malattie multifattoriali,</w:t>
      </w:r>
      <w:r w:rsidR="00747FE7" w:rsidRPr="005F7C5E">
        <w:rPr>
          <w:rFonts w:ascii="Garamond" w:hAnsi="Garamond" w:cs="Arial"/>
        </w:rPr>
        <w:t xml:space="preserve"> per</w:t>
      </w:r>
      <w:r w:rsidRPr="005F7C5E">
        <w:rPr>
          <w:rFonts w:ascii="Garamond" w:hAnsi="Garamond" w:cs="Arial"/>
        </w:rPr>
        <w:t xml:space="preserve"> la individuazione dei fattori di rischio o di protezione per specifiche patologie nonché per studi nel campo della diagnostica molecolare e della farmacogenetica. </w:t>
      </w:r>
    </w:p>
    <w:p w:rsidR="00C30091" w:rsidRPr="005F7C5E" w:rsidRDefault="00747FE7" w:rsidP="00F46F18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>Obiettivi della presente ricerca sono stati innanzitutto</w:t>
      </w:r>
      <w:r w:rsidR="000F46EB" w:rsidRPr="005F7C5E">
        <w:rPr>
          <w:rFonts w:ascii="Garamond" w:hAnsi="Garamond" w:cs="Arial"/>
        </w:rPr>
        <w:t xml:space="preserve"> l’approfondimento delle indagini storiche, etnolinguistiche e </w:t>
      </w:r>
      <w:proofErr w:type="spellStart"/>
      <w:r w:rsidR="000F46EB" w:rsidRPr="005F7C5E">
        <w:rPr>
          <w:rFonts w:ascii="Garamond" w:hAnsi="Garamond" w:cs="Arial"/>
        </w:rPr>
        <w:t>biocultu</w:t>
      </w:r>
      <w:r w:rsidR="008D7CAA">
        <w:rPr>
          <w:rFonts w:ascii="Garamond" w:hAnsi="Garamond" w:cs="Arial"/>
        </w:rPr>
        <w:t>r</w:t>
      </w:r>
      <w:bookmarkStart w:id="0" w:name="_GoBack"/>
      <w:bookmarkEnd w:id="0"/>
      <w:r w:rsidR="000F46EB" w:rsidRPr="005F7C5E">
        <w:rPr>
          <w:rFonts w:ascii="Garamond" w:hAnsi="Garamond" w:cs="Arial"/>
        </w:rPr>
        <w:t>ali</w:t>
      </w:r>
      <w:proofErr w:type="spellEnd"/>
      <w:r w:rsidR="000F46EB" w:rsidRPr="005F7C5E">
        <w:rPr>
          <w:rFonts w:ascii="Garamond" w:hAnsi="Garamond" w:cs="Arial"/>
        </w:rPr>
        <w:t xml:space="preserve"> nonché lo studio </w:t>
      </w:r>
      <w:r w:rsidRPr="005F7C5E">
        <w:rPr>
          <w:rFonts w:ascii="Garamond" w:hAnsi="Garamond" w:cs="Arial"/>
        </w:rPr>
        <w:t>del</w:t>
      </w:r>
      <w:r w:rsidR="00C30091" w:rsidRPr="005F7C5E">
        <w:rPr>
          <w:rFonts w:ascii="Garamond" w:hAnsi="Garamond" w:cs="Arial"/>
        </w:rPr>
        <w:t xml:space="preserve">la struttura genetica, </w:t>
      </w:r>
      <w:r w:rsidRPr="005F7C5E">
        <w:rPr>
          <w:rFonts w:ascii="Garamond" w:hAnsi="Garamond" w:cs="Arial"/>
        </w:rPr>
        <w:t>del</w:t>
      </w:r>
      <w:r w:rsidR="00C30091" w:rsidRPr="005F7C5E">
        <w:rPr>
          <w:rFonts w:ascii="Garamond" w:hAnsi="Garamond" w:cs="Arial"/>
        </w:rPr>
        <w:t xml:space="preserve">l'origine </w:t>
      </w:r>
      <w:r w:rsidRPr="005F7C5E">
        <w:rPr>
          <w:rFonts w:ascii="Garamond" w:hAnsi="Garamond" w:cs="Arial"/>
        </w:rPr>
        <w:t>e del</w:t>
      </w:r>
      <w:r w:rsidR="00C30091" w:rsidRPr="005F7C5E">
        <w:rPr>
          <w:rFonts w:ascii="Garamond" w:hAnsi="Garamond" w:cs="Arial"/>
        </w:rPr>
        <w:t xml:space="preserve"> grado di i</w:t>
      </w:r>
      <w:r w:rsidR="000F46EB" w:rsidRPr="005F7C5E">
        <w:rPr>
          <w:rFonts w:ascii="Garamond" w:hAnsi="Garamond" w:cs="Arial"/>
        </w:rPr>
        <w:t>solamento di questa popolaz</w:t>
      </w:r>
      <w:r w:rsidRPr="005F7C5E">
        <w:rPr>
          <w:rFonts w:ascii="Garamond" w:hAnsi="Garamond" w:cs="Arial"/>
        </w:rPr>
        <w:t>ione</w:t>
      </w:r>
      <w:r w:rsidR="000F46EB" w:rsidRPr="005F7C5E">
        <w:rPr>
          <w:rFonts w:ascii="Garamond" w:hAnsi="Garamond" w:cs="Arial"/>
        </w:rPr>
        <w:t xml:space="preserve">, già avviate in seguito a missioni di ricerca precedenti. A questi si sono aggiunti non meno importanti </w:t>
      </w:r>
      <w:r w:rsidR="00C30091" w:rsidRPr="005F7C5E">
        <w:rPr>
          <w:rFonts w:ascii="Garamond" w:hAnsi="Garamond" w:cs="Arial"/>
        </w:rPr>
        <w:t xml:space="preserve">obiettivi di carattere farmacogenetico </w:t>
      </w:r>
      <w:r w:rsidR="000F46EB" w:rsidRPr="005F7C5E">
        <w:rPr>
          <w:rFonts w:ascii="Garamond" w:hAnsi="Garamond" w:cs="Arial"/>
        </w:rPr>
        <w:t xml:space="preserve">volti a </w:t>
      </w:r>
      <w:r w:rsidR="00C30091" w:rsidRPr="005F7C5E">
        <w:rPr>
          <w:rFonts w:ascii="Garamond" w:hAnsi="Garamond" w:cs="Arial"/>
        </w:rPr>
        <w:t>chiarire i</w:t>
      </w:r>
      <w:r w:rsidR="00E409F2" w:rsidRPr="005F7C5E">
        <w:rPr>
          <w:rFonts w:ascii="Garamond" w:hAnsi="Garamond" w:cs="Arial"/>
        </w:rPr>
        <w:t>l ruolo</w:t>
      </w:r>
      <w:r w:rsidR="00C30091" w:rsidRPr="005F7C5E">
        <w:rPr>
          <w:rFonts w:ascii="Garamond" w:hAnsi="Garamond" w:cs="Arial"/>
        </w:rPr>
        <w:t xml:space="preserve"> </w:t>
      </w:r>
      <w:r w:rsidR="000F46EB" w:rsidRPr="005F7C5E">
        <w:rPr>
          <w:rFonts w:ascii="Garamond" w:hAnsi="Garamond" w:cs="Arial"/>
        </w:rPr>
        <w:t xml:space="preserve">di geni </w:t>
      </w:r>
      <w:r w:rsidR="00E409F2" w:rsidRPr="005F7C5E">
        <w:rPr>
          <w:rFonts w:ascii="Garamond" w:hAnsi="Garamond" w:cs="Arial"/>
        </w:rPr>
        <w:t>coinvolti nei sistemi di riparazione del DNA</w:t>
      </w:r>
      <w:r w:rsidR="00F46F18" w:rsidRPr="005F7C5E">
        <w:rPr>
          <w:rFonts w:ascii="Garamond" w:hAnsi="Garamond" w:cs="Arial"/>
        </w:rPr>
        <w:t>, nei processi di trasporto, nel metabolismo e nella eliminazione di farmaci e xenobiotici.</w:t>
      </w:r>
      <w:r w:rsidR="00C30091" w:rsidRPr="005F7C5E">
        <w:rPr>
          <w:rFonts w:ascii="Garamond" w:hAnsi="Garamond" w:cs="Arial"/>
        </w:rPr>
        <w:t xml:space="preserve"> </w:t>
      </w:r>
    </w:p>
    <w:p w:rsidR="00C30091" w:rsidRPr="005F7C5E" w:rsidRDefault="00C30091" w:rsidP="000305B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lang w:eastAsia="it-IT"/>
        </w:rPr>
      </w:pPr>
      <w:r w:rsidRPr="005F7C5E">
        <w:rPr>
          <w:rFonts w:ascii="Garamond" w:hAnsi="Garamond" w:cs="Tahoma"/>
          <w:lang w:eastAsia="it-IT"/>
        </w:rPr>
        <w:t xml:space="preserve">Considerata la molteplicità delle competenze necessarie per affrontare le suddette ricerche secondo un approccio multi e interdisciplinare, il progetto ha visto il coinvolgimento di quattro Unità di ricerca, ciascuna impegnata in uno specifico </w:t>
      </w:r>
      <w:proofErr w:type="spellStart"/>
      <w:r w:rsidRPr="005F7C5E">
        <w:rPr>
          <w:rFonts w:ascii="Garamond" w:hAnsi="Garamond" w:cs="Tahoma"/>
          <w:lang w:eastAsia="it-IT"/>
        </w:rPr>
        <w:t>sottoprogetto</w:t>
      </w:r>
      <w:proofErr w:type="spellEnd"/>
      <w:r w:rsidRPr="005F7C5E">
        <w:rPr>
          <w:rFonts w:ascii="Garamond" w:hAnsi="Garamond" w:cs="Tahoma"/>
          <w:lang w:eastAsia="it-IT"/>
        </w:rPr>
        <w:t xml:space="preserve">. </w:t>
      </w:r>
    </w:p>
    <w:p w:rsidR="00C30091" w:rsidRPr="005F7C5E" w:rsidRDefault="00C30091" w:rsidP="003B7C67">
      <w:pPr>
        <w:spacing w:after="0" w:line="360" w:lineRule="auto"/>
        <w:jc w:val="both"/>
        <w:rPr>
          <w:rFonts w:ascii="Garamond" w:hAnsi="Garamond" w:cs="Arial"/>
          <w:b/>
        </w:rPr>
      </w:pPr>
    </w:p>
    <w:p w:rsidR="00C30091" w:rsidRPr="005F7C5E" w:rsidRDefault="00C30091" w:rsidP="003B7C67">
      <w:pPr>
        <w:spacing w:after="0" w:line="360" w:lineRule="auto"/>
        <w:jc w:val="both"/>
        <w:rPr>
          <w:rFonts w:ascii="Garamond" w:hAnsi="Garamond" w:cs="Arial"/>
          <w:i/>
        </w:rPr>
      </w:pPr>
      <w:proofErr w:type="spellStart"/>
      <w:r w:rsidRPr="005F7C5E">
        <w:rPr>
          <w:rFonts w:ascii="Garamond" w:hAnsi="Garamond" w:cs="Arial"/>
          <w:b/>
        </w:rPr>
        <w:t>Sottoprogetto</w:t>
      </w:r>
      <w:proofErr w:type="spellEnd"/>
      <w:r w:rsidRPr="005F7C5E">
        <w:rPr>
          <w:rFonts w:ascii="Garamond" w:hAnsi="Garamond" w:cs="Arial"/>
          <w:b/>
        </w:rPr>
        <w:t xml:space="preserve"> 1: Storia, Etnolinguistica ed </w:t>
      </w:r>
      <w:proofErr w:type="spellStart"/>
      <w:r w:rsidRPr="005F7C5E">
        <w:rPr>
          <w:rFonts w:ascii="Garamond" w:hAnsi="Garamond" w:cs="Arial"/>
          <w:b/>
        </w:rPr>
        <w:t>Etnomedicina</w:t>
      </w:r>
      <w:proofErr w:type="spellEnd"/>
      <w:r w:rsidRPr="005F7C5E">
        <w:rPr>
          <w:rFonts w:ascii="Garamond" w:hAnsi="Garamond" w:cs="Arial"/>
          <w:b/>
        </w:rPr>
        <w:t xml:space="preserve"> della Valle dello </w:t>
      </w:r>
      <w:proofErr w:type="spellStart"/>
      <w:r w:rsidRPr="005F7C5E">
        <w:rPr>
          <w:rFonts w:ascii="Garamond" w:hAnsi="Garamond" w:cs="Arial"/>
          <w:b/>
        </w:rPr>
        <w:t>Yaghnob</w:t>
      </w:r>
      <w:proofErr w:type="spellEnd"/>
      <w:r w:rsidR="0017697B" w:rsidRPr="005F7C5E">
        <w:rPr>
          <w:rFonts w:ascii="Garamond" w:hAnsi="Garamond" w:cs="Arial"/>
        </w:rPr>
        <w:t xml:space="preserve"> </w:t>
      </w:r>
    </w:p>
    <w:p w:rsidR="00C30091" w:rsidRPr="005F7C5E" w:rsidRDefault="00C30091" w:rsidP="003B7C67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L’equipe ha operato in modo congiunto sui diversi fronti, eseguendo sia i prelievi di materiale biologico per l’analisi del DNA, sia la raccolta di materiali </w:t>
      </w:r>
      <w:proofErr w:type="spellStart"/>
      <w:r w:rsidRPr="005F7C5E">
        <w:rPr>
          <w:rFonts w:ascii="Garamond" w:hAnsi="Garamond" w:cs="Arial"/>
        </w:rPr>
        <w:t>etno</w:t>
      </w:r>
      <w:proofErr w:type="spellEnd"/>
      <w:r w:rsidRPr="005F7C5E">
        <w:rPr>
          <w:rFonts w:ascii="Garamond" w:hAnsi="Garamond" w:cs="Arial"/>
        </w:rPr>
        <w:t xml:space="preserve">-botanici per consolidare il lavoro di storia della medicina </w:t>
      </w:r>
      <w:proofErr w:type="spellStart"/>
      <w:r w:rsidR="00343B60" w:rsidRPr="005F7C5E">
        <w:rPr>
          <w:rFonts w:ascii="Garamond" w:hAnsi="Garamond" w:cs="Arial"/>
        </w:rPr>
        <w:t>Y</w:t>
      </w:r>
      <w:r w:rsidRPr="005F7C5E">
        <w:rPr>
          <w:rFonts w:ascii="Garamond" w:hAnsi="Garamond" w:cs="Arial"/>
        </w:rPr>
        <w:t>aghnobi</w:t>
      </w:r>
      <w:proofErr w:type="spellEnd"/>
      <w:r w:rsidRPr="005F7C5E">
        <w:rPr>
          <w:rFonts w:ascii="Garamond" w:hAnsi="Garamond" w:cs="Arial"/>
        </w:rPr>
        <w:t xml:space="preserve"> (</w:t>
      </w:r>
      <w:proofErr w:type="spellStart"/>
      <w:r w:rsidRPr="005F7C5E">
        <w:rPr>
          <w:rFonts w:ascii="Garamond" w:hAnsi="Garamond" w:cs="Arial"/>
        </w:rPr>
        <w:t>Delaini</w:t>
      </w:r>
      <w:proofErr w:type="spellEnd"/>
      <w:r w:rsidRPr="005F7C5E">
        <w:rPr>
          <w:rFonts w:ascii="Garamond" w:hAnsi="Garamond" w:cs="Arial"/>
        </w:rPr>
        <w:t xml:space="preserve">, 2012). Estremamente preziose sono state le interviste alle ostetriche tradizionali (levatrici), </w:t>
      </w:r>
      <w:r w:rsidRPr="005F7C5E">
        <w:rPr>
          <w:rFonts w:ascii="Garamond" w:hAnsi="Garamond" w:cs="Arial"/>
        </w:rPr>
        <w:lastRenderedPageBreak/>
        <w:t xml:space="preserve">per raccogliere informazioni sulla cura del bambino, la nascita e le tradizioni legate ai primi anni di vita. Grazie ai dati raccolti dal team di ricercatori è stato possibile eseguire un approfondito studio sull'epidemia di peste che ha colpito il villaggio di </w:t>
      </w:r>
      <w:proofErr w:type="spellStart"/>
      <w:r w:rsidRPr="005F7C5E">
        <w:rPr>
          <w:rFonts w:ascii="Garamond" w:hAnsi="Garamond" w:cs="Arial"/>
        </w:rPr>
        <w:t>Anzob</w:t>
      </w:r>
      <w:proofErr w:type="spellEnd"/>
      <w:r w:rsidRPr="005F7C5E">
        <w:rPr>
          <w:rFonts w:ascii="Garamond" w:hAnsi="Garamond" w:cs="Arial"/>
        </w:rPr>
        <w:t xml:space="preserve"> alla fine dell'Ottocento, risolta poi grazie all'invio di un gruppo di medici e militari. Nella zona sono ancora riconoscibili i luoghi delle sepolture, documentati nelle foto dell'epoca. L'equipe ha potuto eseguire un dettagliato studio storico sulla peste di </w:t>
      </w:r>
      <w:proofErr w:type="spellStart"/>
      <w:r w:rsidRPr="005F7C5E">
        <w:rPr>
          <w:rFonts w:ascii="Garamond" w:hAnsi="Garamond" w:cs="Arial"/>
        </w:rPr>
        <w:t>Anzob</w:t>
      </w:r>
      <w:proofErr w:type="spellEnd"/>
      <w:r w:rsidRPr="005F7C5E">
        <w:rPr>
          <w:rFonts w:ascii="Garamond" w:hAnsi="Garamond" w:cs="Arial"/>
        </w:rPr>
        <w:t xml:space="preserve"> e sulle modalità della diffusione dell’epidemia, sia attraverso fonti testuali, sia attraverso materiale fotografico dell’epoca, nonché intervistando i discendenti dei sopravvissuti (Ognibene, 2013). </w:t>
      </w:r>
    </w:p>
    <w:p w:rsidR="00C30091" w:rsidRPr="005F7C5E" w:rsidRDefault="00C30091" w:rsidP="00A4253C">
      <w:pPr>
        <w:spacing w:after="0" w:line="360" w:lineRule="auto"/>
        <w:jc w:val="both"/>
        <w:rPr>
          <w:rFonts w:ascii="Garamond" w:hAnsi="Garamond" w:cs="Arial"/>
          <w:b/>
        </w:rPr>
      </w:pPr>
    </w:p>
    <w:p w:rsidR="00C30091" w:rsidRPr="005F7C5E" w:rsidRDefault="00C30091" w:rsidP="00A4253C">
      <w:pPr>
        <w:spacing w:after="0" w:line="360" w:lineRule="auto"/>
        <w:jc w:val="both"/>
        <w:rPr>
          <w:rFonts w:ascii="Garamond" w:hAnsi="Garamond" w:cs="Arial"/>
          <w:i/>
        </w:rPr>
      </w:pPr>
      <w:proofErr w:type="spellStart"/>
      <w:r w:rsidRPr="005F7C5E">
        <w:rPr>
          <w:rFonts w:ascii="Garamond" w:hAnsi="Garamond" w:cs="Arial"/>
          <w:b/>
        </w:rPr>
        <w:t>Sottoprogetto</w:t>
      </w:r>
      <w:proofErr w:type="spellEnd"/>
      <w:r w:rsidRPr="005F7C5E">
        <w:rPr>
          <w:rFonts w:ascii="Garamond" w:hAnsi="Garamond" w:cs="Arial"/>
          <w:b/>
        </w:rPr>
        <w:t xml:space="preserve"> 2: Analisi genetica della comunità </w:t>
      </w:r>
      <w:proofErr w:type="spellStart"/>
      <w:r w:rsidRPr="005F7C5E">
        <w:rPr>
          <w:rFonts w:ascii="Garamond" w:hAnsi="Garamond" w:cs="Arial"/>
          <w:b/>
        </w:rPr>
        <w:t>Yaghnobi</w:t>
      </w:r>
      <w:proofErr w:type="spellEnd"/>
      <w:r w:rsidRPr="005F7C5E">
        <w:rPr>
          <w:rFonts w:ascii="Garamond" w:hAnsi="Garamond" w:cs="Arial"/>
          <w:b/>
        </w:rPr>
        <w:t xml:space="preserve"> attraverso marcatori molecolari del DNA mitocondriale e del cromosoma Y - </w:t>
      </w:r>
    </w:p>
    <w:p w:rsidR="00C30091" w:rsidRPr="005F7C5E" w:rsidRDefault="00C30091" w:rsidP="00A4253C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Lo scopo di questo </w:t>
      </w:r>
      <w:proofErr w:type="spellStart"/>
      <w:r w:rsidRPr="005F7C5E">
        <w:rPr>
          <w:rFonts w:ascii="Garamond" w:hAnsi="Garamond" w:cs="Arial"/>
        </w:rPr>
        <w:t>sottoprogetto</w:t>
      </w:r>
      <w:proofErr w:type="spellEnd"/>
      <w:r w:rsidRPr="005F7C5E">
        <w:rPr>
          <w:rFonts w:ascii="Garamond" w:hAnsi="Garamond" w:cs="Arial"/>
        </w:rPr>
        <w:t xml:space="preserve"> è stato quello di indagare la struttura genetica e l'origine della popolazione </w:t>
      </w:r>
      <w:proofErr w:type="spellStart"/>
      <w:r w:rsidRPr="005F7C5E">
        <w:rPr>
          <w:rFonts w:ascii="Garamond" w:hAnsi="Garamond" w:cs="Arial"/>
        </w:rPr>
        <w:t>Yaghnobi</w:t>
      </w:r>
      <w:proofErr w:type="spellEnd"/>
      <w:r w:rsidRPr="005F7C5E">
        <w:rPr>
          <w:rFonts w:ascii="Garamond" w:hAnsi="Garamond" w:cs="Arial"/>
        </w:rPr>
        <w:t xml:space="preserve"> e verificare se questa possa essere considerata un isolato genetico, date le condizioni di parziale isolamento geografico e linguistico che la caratterizzano.</w:t>
      </w:r>
    </w:p>
    <w:p w:rsidR="00C30091" w:rsidRPr="005F7C5E" w:rsidRDefault="00C30091" w:rsidP="000E5F87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Le analisi sono state incentrate sui marcatori </w:t>
      </w:r>
      <w:proofErr w:type="spellStart"/>
      <w:r w:rsidRPr="005F7C5E">
        <w:rPr>
          <w:rFonts w:ascii="Garamond" w:hAnsi="Garamond" w:cs="Arial"/>
        </w:rPr>
        <w:t>uniparentali</w:t>
      </w:r>
      <w:proofErr w:type="spellEnd"/>
      <w:r w:rsidRPr="005F7C5E">
        <w:rPr>
          <w:rFonts w:ascii="Garamond" w:hAnsi="Garamond" w:cs="Arial"/>
        </w:rPr>
        <w:t xml:space="preserve"> del genoma umano: il DNA mitocondriale (frammento HVR1 e polimorfismi della regione codificante) ed il cromosoma Y attravers</w:t>
      </w:r>
      <w:r w:rsidR="00045B50" w:rsidRPr="005F7C5E">
        <w:rPr>
          <w:rFonts w:ascii="Garamond" w:hAnsi="Garamond" w:cs="Arial"/>
        </w:rPr>
        <w:t xml:space="preserve">o l'analisi di un pool di </w:t>
      </w:r>
      <w:proofErr w:type="spellStart"/>
      <w:r w:rsidR="00045B50" w:rsidRPr="005F7C5E">
        <w:rPr>
          <w:rFonts w:ascii="Garamond" w:hAnsi="Garamond" w:cs="Arial"/>
        </w:rPr>
        <w:t>micro</w:t>
      </w:r>
      <w:r w:rsidRPr="005F7C5E">
        <w:rPr>
          <w:rFonts w:ascii="Garamond" w:hAnsi="Garamond" w:cs="Arial"/>
        </w:rPr>
        <w:t>satelliti</w:t>
      </w:r>
      <w:proofErr w:type="spellEnd"/>
      <w:r w:rsidRPr="005F7C5E">
        <w:rPr>
          <w:rFonts w:ascii="Garamond" w:hAnsi="Garamond" w:cs="Arial"/>
        </w:rPr>
        <w:t xml:space="preserve"> e hanno prodotto risultati preliminari già oggetto di due pubblicazioni (</w:t>
      </w:r>
      <w:proofErr w:type="spellStart"/>
      <w:r w:rsidRPr="005F7C5E">
        <w:rPr>
          <w:rFonts w:ascii="Garamond" w:hAnsi="Garamond" w:cs="Arial"/>
        </w:rPr>
        <w:t>Cilli</w:t>
      </w:r>
      <w:proofErr w:type="spellEnd"/>
      <w:r w:rsidRPr="005F7C5E">
        <w:rPr>
          <w:rFonts w:ascii="Garamond" w:hAnsi="Garamond" w:cs="Arial"/>
        </w:rPr>
        <w:t xml:space="preserve"> </w:t>
      </w:r>
      <w:r w:rsidRPr="005F7C5E">
        <w:rPr>
          <w:rFonts w:ascii="Garamond" w:hAnsi="Garamond" w:cs="Arial"/>
          <w:i/>
        </w:rPr>
        <w:t>et a</w:t>
      </w:r>
      <w:r w:rsidRPr="005F7C5E">
        <w:rPr>
          <w:rFonts w:ascii="Garamond" w:hAnsi="Garamond" w:cs="Arial"/>
        </w:rPr>
        <w:t xml:space="preserve">l., 2011; </w:t>
      </w:r>
      <w:proofErr w:type="spellStart"/>
      <w:r w:rsidRPr="005F7C5E">
        <w:rPr>
          <w:rFonts w:ascii="Garamond" w:hAnsi="Garamond" w:cs="Arial"/>
        </w:rPr>
        <w:t>Cilli</w:t>
      </w:r>
      <w:proofErr w:type="spellEnd"/>
      <w:r w:rsidRPr="005F7C5E">
        <w:rPr>
          <w:rFonts w:ascii="Garamond" w:hAnsi="Garamond" w:cs="Arial"/>
        </w:rPr>
        <w:t xml:space="preserve"> </w:t>
      </w:r>
      <w:r w:rsidRPr="005F7C5E">
        <w:rPr>
          <w:rFonts w:ascii="Garamond" w:hAnsi="Garamond" w:cs="Arial"/>
          <w:i/>
        </w:rPr>
        <w:t>et al</w:t>
      </w:r>
      <w:r w:rsidRPr="005F7C5E">
        <w:rPr>
          <w:rFonts w:ascii="Garamond" w:hAnsi="Garamond" w:cs="Arial"/>
        </w:rPr>
        <w:t>., 2013).</w:t>
      </w:r>
    </w:p>
    <w:p w:rsidR="00C30091" w:rsidRPr="005F7C5E" w:rsidRDefault="00C30091" w:rsidP="000E5F87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Le sequenze mitocondriali ottenute, assegnate ai principali </w:t>
      </w:r>
      <w:proofErr w:type="spellStart"/>
      <w:r w:rsidRPr="005F7C5E">
        <w:rPr>
          <w:rFonts w:ascii="Garamond" w:hAnsi="Garamond" w:cs="Arial"/>
        </w:rPr>
        <w:t>aplogruppi</w:t>
      </w:r>
      <w:proofErr w:type="spellEnd"/>
      <w:r w:rsidRPr="005F7C5E">
        <w:rPr>
          <w:rFonts w:ascii="Garamond" w:hAnsi="Garamond" w:cs="Arial"/>
        </w:rPr>
        <w:t xml:space="preserve"> tramite il software </w:t>
      </w:r>
      <w:proofErr w:type="spellStart"/>
      <w:r w:rsidRPr="005F7C5E">
        <w:rPr>
          <w:rFonts w:ascii="Garamond" w:hAnsi="Garamond" w:cs="Arial"/>
        </w:rPr>
        <w:t>Phylotree</w:t>
      </w:r>
      <w:proofErr w:type="spellEnd"/>
      <w:r w:rsidRPr="005F7C5E">
        <w:rPr>
          <w:rFonts w:ascii="Garamond" w:hAnsi="Garamond" w:cs="Arial"/>
        </w:rPr>
        <w:t xml:space="preserve"> (vedi fig. 1) hanno rivelato che circa il 95% di questi è rappresentato da </w:t>
      </w:r>
      <w:proofErr w:type="spellStart"/>
      <w:r w:rsidRPr="005F7C5E">
        <w:rPr>
          <w:rFonts w:ascii="Garamond" w:hAnsi="Garamond" w:cs="Arial"/>
        </w:rPr>
        <w:t>aplotipi</w:t>
      </w:r>
      <w:proofErr w:type="spellEnd"/>
      <w:r w:rsidRPr="005F7C5E">
        <w:rPr>
          <w:rFonts w:ascii="Garamond" w:hAnsi="Garamond" w:cs="Arial"/>
        </w:rPr>
        <w:t xml:space="preserve"> eurasiatici occidentali, in contrasto con il pattern delle popolazioni circostanti, in cui si riscontra un equilibrio tra </w:t>
      </w:r>
      <w:proofErr w:type="spellStart"/>
      <w:r w:rsidRPr="005F7C5E">
        <w:rPr>
          <w:rFonts w:ascii="Garamond" w:hAnsi="Garamond" w:cs="Arial"/>
        </w:rPr>
        <w:t>aplotipi</w:t>
      </w:r>
      <w:proofErr w:type="spellEnd"/>
      <w:r w:rsidRPr="005F7C5E">
        <w:rPr>
          <w:rFonts w:ascii="Garamond" w:hAnsi="Garamond" w:cs="Arial"/>
        </w:rPr>
        <w:t xml:space="preserve"> eurasiatici occidentali e orientali (</w:t>
      </w:r>
      <w:proofErr w:type="spellStart"/>
      <w:r w:rsidRPr="005F7C5E">
        <w:rPr>
          <w:rFonts w:ascii="Garamond" w:hAnsi="Garamond" w:cs="Arial"/>
        </w:rPr>
        <w:t>Comas</w:t>
      </w:r>
      <w:proofErr w:type="spellEnd"/>
      <w:r w:rsidRPr="005F7C5E">
        <w:rPr>
          <w:rFonts w:ascii="Garamond" w:hAnsi="Garamond" w:cs="Arial"/>
        </w:rPr>
        <w:t xml:space="preserve"> </w:t>
      </w:r>
      <w:r w:rsidRPr="005F7C5E">
        <w:rPr>
          <w:rFonts w:ascii="Garamond" w:hAnsi="Garamond" w:cs="Arial"/>
          <w:i/>
        </w:rPr>
        <w:t>et al</w:t>
      </w:r>
      <w:r w:rsidRPr="005F7C5E">
        <w:rPr>
          <w:rFonts w:ascii="Garamond" w:hAnsi="Garamond" w:cs="Arial"/>
        </w:rPr>
        <w:t xml:space="preserve">., 2004; Irwin </w:t>
      </w:r>
      <w:r w:rsidRPr="005F7C5E">
        <w:rPr>
          <w:rFonts w:ascii="Garamond" w:hAnsi="Garamond" w:cs="Arial"/>
          <w:i/>
        </w:rPr>
        <w:t>et a</w:t>
      </w:r>
      <w:r w:rsidRPr="005F7C5E">
        <w:rPr>
          <w:rFonts w:ascii="Garamond" w:hAnsi="Garamond" w:cs="Arial"/>
        </w:rPr>
        <w:t>l., 2010).</w:t>
      </w:r>
    </w:p>
    <w:p w:rsidR="00C30091" w:rsidRPr="005F7C5E" w:rsidRDefault="0031308A" w:rsidP="00213BF1">
      <w:pPr>
        <w:tabs>
          <w:tab w:val="left" w:pos="-360"/>
        </w:tabs>
        <w:spacing w:line="360" w:lineRule="auto"/>
        <w:rPr>
          <w:rFonts w:ascii="Garamond" w:hAnsi="Garamond" w:cs="Arial"/>
        </w:rPr>
      </w:pPr>
      <w:r w:rsidRPr="005F7C5E">
        <w:rPr>
          <w:rFonts w:ascii="Garamond" w:hAnsi="Garamond" w:cs="Arial"/>
          <w:noProof/>
          <w:lang w:eastAsia="it-IT"/>
        </w:rPr>
        <w:drawing>
          <wp:inline distT="0" distB="0" distL="0" distR="0" wp14:anchorId="36637742" wp14:editId="20E30209">
            <wp:extent cx="2990850" cy="1790700"/>
            <wp:effectExtent l="0" t="0" r="0" b="0"/>
            <wp:docPr id="1" name="Immagin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91" w:rsidRPr="005F7C5E" w:rsidRDefault="00C30091" w:rsidP="00A4253C">
      <w:pPr>
        <w:spacing w:line="360" w:lineRule="auto"/>
        <w:jc w:val="both"/>
        <w:rPr>
          <w:rFonts w:ascii="Garamond" w:hAnsi="Garamond"/>
        </w:rPr>
      </w:pPr>
      <w:r w:rsidRPr="005F7C5E">
        <w:rPr>
          <w:rFonts w:ascii="Garamond" w:hAnsi="Garamond" w:cs="Arial"/>
        </w:rPr>
        <w:t xml:space="preserve">Fig. 1 </w:t>
      </w:r>
      <w:proofErr w:type="spellStart"/>
      <w:r w:rsidRPr="005F7C5E">
        <w:rPr>
          <w:rFonts w:ascii="Garamond" w:hAnsi="Garamond"/>
        </w:rPr>
        <w:t>Aplogruppi</w:t>
      </w:r>
      <w:proofErr w:type="spellEnd"/>
      <w:r w:rsidRPr="005F7C5E">
        <w:rPr>
          <w:rFonts w:ascii="Garamond" w:hAnsi="Garamond"/>
        </w:rPr>
        <w:t xml:space="preserve"> mitocondriali riscontrati nella popolazione </w:t>
      </w:r>
      <w:proofErr w:type="spellStart"/>
      <w:r w:rsidRPr="005F7C5E">
        <w:rPr>
          <w:rFonts w:ascii="Garamond" w:hAnsi="Garamond"/>
        </w:rPr>
        <w:t>Yaghnobi</w:t>
      </w:r>
      <w:proofErr w:type="spellEnd"/>
    </w:p>
    <w:p w:rsidR="00C30091" w:rsidRPr="005F7C5E" w:rsidRDefault="00C30091" w:rsidP="000E5F87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Per quanto riguarda la variabilità genetica è stato riscontrato un ridotto numero di </w:t>
      </w:r>
      <w:proofErr w:type="spellStart"/>
      <w:r w:rsidRPr="005F7C5E">
        <w:rPr>
          <w:rFonts w:ascii="Garamond" w:hAnsi="Garamond" w:cs="Arial"/>
        </w:rPr>
        <w:t>aplotipi</w:t>
      </w:r>
      <w:proofErr w:type="spellEnd"/>
      <w:r w:rsidRPr="005F7C5E">
        <w:rPr>
          <w:rFonts w:ascii="Garamond" w:hAnsi="Garamond" w:cs="Arial"/>
        </w:rPr>
        <w:t xml:space="preserve"> (19) ed una bassa divers</w:t>
      </w:r>
      <w:r w:rsidR="006203D0" w:rsidRPr="005F7C5E">
        <w:rPr>
          <w:rFonts w:ascii="Garamond" w:hAnsi="Garamond" w:cs="Arial"/>
        </w:rPr>
        <w:t xml:space="preserve">ità </w:t>
      </w:r>
      <w:proofErr w:type="spellStart"/>
      <w:r w:rsidR="006203D0" w:rsidRPr="005F7C5E">
        <w:rPr>
          <w:rFonts w:ascii="Garamond" w:hAnsi="Garamond" w:cs="Arial"/>
        </w:rPr>
        <w:t>aplotipica</w:t>
      </w:r>
      <w:proofErr w:type="spellEnd"/>
      <w:r w:rsidR="006203D0" w:rsidRPr="005F7C5E">
        <w:rPr>
          <w:rFonts w:ascii="Garamond" w:hAnsi="Garamond" w:cs="Arial"/>
        </w:rPr>
        <w:t xml:space="preserve"> (0.930 ± 0.023),</w:t>
      </w:r>
      <w:r w:rsidRPr="005F7C5E">
        <w:rPr>
          <w:rFonts w:ascii="Garamond" w:hAnsi="Garamond" w:cs="Arial"/>
        </w:rPr>
        <w:t xml:space="preserve"> </w:t>
      </w:r>
      <w:r w:rsidR="000274A9" w:rsidRPr="005F7C5E">
        <w:rPr>
          <w:rFonts w:ascii="Garamond" w:hAnsi="Garamond" w:cs="Arial"/>
        </w:rPr>
        <w:t>dovuta</w:t>
      </w:r>
      <w:r w:rsidRPr="005F7C5E">
        <w:rPr>
          <w:rFonts w:ascii="Garamond" w:hAnsi="Garamond" w:cs="Arial"/>
        </w:rPr>
        <w:t xml:space="preserve"> probabilmente a fenomeni di deriva</w:t>
      </w:r>
      <w:r w:rsidR="000274A9" w:rsidRPr="005F7C5E">
        <w:rPr>
          <w:rFonts w:ascii="Garamond" w:hAnsi="Garamond" w:cs="Arial"/>
        </w:rPr>
        <w:t xml:space="preserve"> genetica riconducibili </w:t>
      </w:r>
      <w:r w:rsidRPr="005F7C5E">
        <w:rPr>
          <w:rFonts w:ascii="Garamond" w:hAnsi="Garamond" w:cs="Arial"/>
        </w:rPr>
        <w:t xml:space="preserve">all’isolamento geografico e </w:t>
      </w:r>
      <w:r w:rsidR="000274A9" w:rsidRPr="005F7C5E">
        <w:rPr>
          <w:rFonts w:ascii="Garamond" w:hAnsi="Garamond" w:cs="Arial"/>
        </w:rPr>
        <w:t xml:space="preserve">al </w:t>
      </w:r>
      <w:proofErr w:type="spellStart"/>
      <w:r w:rsidRPr="005F7C5E">
        <w:rPr>
          <w:rFonts w:ascii="Garamond" w:hAnsi="Garamond" w:cs="Arial"/>
          <w:i/>
        </w:rPr>
        <w:t>bottleneck</w:t>
      </w:r>
      <w:proofErr w:type="spellEnd"/>
      <w:r w:rsidR="000274A9" w:rsidRPr="005F7C5E">
        <w:rPr>
          <w:rFonts w:ascii="Garamond" w:hAnsi="Garamond" w:cs="Arial"/>
        </w:rPr>
        <w:t xml:space="preserve"> subito dalla popolazione in seguito</w:t>
      </w:r>
      <w:r w:rsidRPr="005F7C5E">
        <w:rPr>
          <w:rFonts w:ascii="Garamond" w:hAnsi="Garamond" w:cs="Arial"/>
        </w:rPr>
        <w:t xml:space="preserve"> alla deportazione</w:t>
      </w:r>
      <w:r w:rsidR="000274A9" w:rsidRPr="005F7C5E">
        <w:rPr>
          <w:rFonts w:ascii="Garamond" w:hAnsi="Garamond" w:cs="Arial"/>
        </w:rPr>
        <w:t xml:space="preserve"> cui fu soggetta in passato</w:t>
      </w:r>
      <w:r w:rsidRPr="005F7C5E">
        <w:rPr>
          <w:rFonts w:ascii="Garamond" w:hAnsi="Garamond" w:cs="Arial"/>
        </w:rPr>
        <w:t>.</w:t>
      </w:r>
    </w:p>
    <w:p w:rsidR="00C30091" w:rsidRPr="005F7C5E" w:rsidRDefault="000274A9" w:rsidP="000E5F87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>G</w:t>
      </w:r>
      <w:r w:rsidR="00C30091" w:rsidRPr="005F7C5E">
        <w:rPr>
          <w:rFonts w:ascii="Garamond" w:hAnsi="Garamond" w:cs="Arial"/>
        </w:rPr>
        <w:t xml:space="preserve">li </w:t>
      </w:r>
      <w:proofErr w:type="spellStart"/>
      <w:r w:rsidR="00C30091" w:rsidRPr="005F7C5E">
        <w:rPr>
          <w:rFonts w:ascii="Garamond" w:hAnsi="Garamond" w:cs="Arial"/>
        </w:rPr>
        <w:t>Yaghnobi</w:t>
      </w:r>
      <w:proofErr w:type="spellEnd"/>
      <w:r w:rsidR="00C30091" w:rsidRPr="005F7C5E">
        <w:rPr>
          <w:rFonts w:ascii="Garamond" w:hAnsi="Garamond" w:cs="Arial"/>
        </w:rPr>
        <w:t xml:space="preserve"> condividono solo 8 </w:t>
      </w:r>
      <w:proofErr w:type="spellStart"/>
      <w:r w:rsidR="00C30091" w:rsidRPr="005F7C5E">
        <w:rPr>
          <w:rFonts w:ascii="Garamond" w:hAnsi="Garamond" w:cs="Arial"/>
        </w:rPr>
        <w:t>aplotipi</w:t>
      </w:r>
      <w:proofErr w:type="spellEnd"/>
      <w:r w:rsidR="00C30091" w:rsidRPr="005F7C5E">
        <w:rPr>
          <w:rFonts w:ascii="Garamond" w:hAnsi="Garamond" w:cs="Arial"/>
        </w:rPr>
        <w:t xml:space="preserve"> su 19 con le altre popolazioni, mentre gli altri 11 sono </w:t>
      </w:r>
      <w:proofErr w:type="spellStart"/>
      <w:r w:rsidR="00C30091" w:rsidRPr="005F7C5E">
        <w:rPr>
          <w:rFonts w:ascii="Garamond" w:hAnsi="Garamond" w:cs="Arial"/>
        </w:rPr>
        <w:t>aplotipi</w:t>
      </w:r>
      <w:proofErr w:type="spellEnd"/>
      <w:r w:rsidR="00C30091" w:rsidRPr="005F7C5E">
        <w:rPr>
          <w:rFonts w:ascii="Garamond" w:hAnsi="Garamond" w:cs="Arial"/>
        </w:rPr>
        <w:t xml:space="preserve"> privati della popolazione esaminata. E' interessante notare come condividano solo un </w:t>
      </w:r>
      <w:proofErr w:type="spellStart"/>
      <w:r w:rsidR="00C30091" w:rsidRPr="005F7C5E">
        <w:rPr>
          <w:rFonts w:ascii="Garamond" w:hAnsi="Garamond" w:cs="Arial"/>
        </w:rPr>
        <w:t>aplotipo</w:t>
      </w:r>
      <w:proofErr w:type="spellEnd"/>
      <w:r w:rsidR="00C30091" w:rsidRPr="005F7C5E">
        <w:rPr>
          <w:rFonts w:ascii="Garamond" w:hAnsi="Garamond" w:cs="Arial"/>
        </w:rPr>
        <w:t xml:space="preserve"> con i </w:t>
      </w:r>
      <w:proofErr w:type="spellStart"/>
      <w:r w:rsidR="00C30091" w:rsidRPr="005F7C5E">
        <w:rPr>
          <w:rFonts w:ascii="Garamond" w:hAnsi="Garamond" w:cs="Arial"/>
        </w:rPr>
        <w:t>Tajiki</w:t>
      </w:r>
      <w:proofErr w:type="spellEnd"/>
      <w:r w:rsidR="00C30091" w:rsidRPr="005F7C5E">
        <w:rPr>
          <w:rFonts w:ascii="Garamond" w:hAnsi="Garamond" w:cs="Arial"/>
        </w:rPr>
        <w:t xml:space="preserve">. Attraverso l'analisi </w:t>
      </w:r>
      <w:proofErr w:type="spellStart"/>
      <w:r w:rsidR="00C30091" w:rsidRPr="005F7C5E">
        <w:rPr>
          <w:rFonts w:ascii="Garamond" w:hAnsi="Garamond" w:cs="Arial"/>
        </w:rPr>
        <w:t>Multidimensional</w:t>
      </w:r>
      <w:proofErr w:type="spellEnd"/>
      <w:r w:rsidR="00C30091" w:rsidRPr="005F7C5E">
        <w:rPr>
          <w:rFonts w:ascii="Garamond" w:hAnsi="Garamond" w:cs="Arial"/>
        </w:rPr>
        <w:t xml:space="preserve"> </w:t>
      </w:r>
      <w:proofErr w:type="spellStart"/>
      <w:r w:rsidR="00C30091" w:rsidRPr="005F7C5E">
        <w:rPr>
          <w:rFonts w:ascii="Garamond" w:hAnsi="Garamond" w:cs="Arial"/>
        </w:rPr>
        <w:t>Scaling</w:t>
      </w:r>
      <w:proofErr w:type="spellEnd"/>
      <w:r w:rsidR="00C30091" w:rsidRPr="005F7C5E">
        <w:rPr>
          <w:rFonts w:ascii="Garamond" w:hAnsi="Garamond" w:cs="Arial"/>
        </w:rPr>
        <w:t xml:space="preserve"> basata sui dati </w:t>
      </w:r>
      <w:proofErr w:type="spellStart"/>
      <w:r w:rsidR="00C30091" w:rsidRPr="005F7C5E">
        <w:rPr>
          <w:rFonts w:ascii="Garamond" w:hAnsi="Garamond" w:cs="Arial"/>
        </w:rPr>
        <w:t>Fst</w:t>
      </w:r>
      <w:proofErr w:type="spellEnd"/>
      <w:r w:rsidR="00C30091" w:rsidRPr="005F7C5E">
        <w:rPr>
          <w:rFonts w:ascii="Garamond" w:hAnsi="Garamond" w:cs="Arial"/>
        </w:rPr>
        <w:t xml:space="preserve"> dei confronti a coppie di popolazioni, emerge come gli </w:t>
      </w:r>
      <w:proofErr w:type="spellStart"/>
      <w:r w:rsidR="00C30091" w:rsidRPr="005F7C5E">
        <w:rPr>
          <w:rFonts w:ascii="Garamond" w:hAnsi="Garamond" w:cs="Arial"/>
        </w:rPr>
        <w:t>Yahgnobi</w:t>
      </w:r>
      <w:proofErr w:type="spellEnd"/>
      <w:r w:rsidR="00C30091" w:rsidRPr="005F7C5E">
        <w:rPr>
          <w:rFonts w:ascii="Garamond" w:hAnsi="Garamond" w:cs="Arial"/>
        </w:rPr>
        <w:t xml:space="preserve"> si collochino in una posizione isolata dalle altre popolazioni prese i</w:t>
      </w:r>
      <w:r w:rsidR="006203D0" w:rsidRPr="005F7C5E">
        <w:rPr>
          <w:rFonts w:ascii="Garamond" w:hAnsi="Garamond" w:cs="Arial"/>
        </w:rPr>
        <w:t>n esame.</w:t>
      </w:r>
    </w:p>
    <w:p w:rsidR="00C30091" w:rsidRPr="005F7C5E" w:rsidRDefault="00C30091" w:rsidP="000305B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lang w:eastAsia="it-IT"/>
        </w:rPr>
      </w:pPr>
    </w:p>
    <w:p w:rsidR="00C30091" w:rsidRPr="005F7C5E" w:rsidRDefault="00C30091" w:rsidP="001E5CFD">
      <w:pPr>
        <w:spacing w:line="360" w:lineRule="auto"/>
        <w:jc w:val="both"/>
        <w:rPr>
          <w:rFonts w:ascii="Garamond" w:hAnsi="Garamond" w:cs="Arial"/>
          <w:i/>
        </w:rPr>
      </w:pPr>
      <w:proofErr w:type="spellStart"/>
      <w:r w:rsidRPr="005F7C5E">
        <w:rPr>
          <w:rFonts w:ascii="Garamond" w:hAnsi="Garamond" w:cs="Arial"/>
          <w:b/>
        </w:rPr>
        <w:t>Sottoprogetto</w:t>
      </w:r>
      <w:proofErr w:type="spellEnd"/>
      <w:r w:rsidRPr="005F7C5E">
        <w:rPr>
          <w:rFonts w:ascii="Garamond" w:hAnsi="Garamond" w:cs="Arial"/>
          <w:b/>
        </w:rPr>
        <w:t xml:space="preserve"> 3: Studio di polimorfismi nei geni codificanti per enzimi della riparazione del DNA ed enzimi che intervengono nel ciclo dei </w:t>
      </w:r>
      <w:proofErr w:type="spellStart"/>
      <w:r w:rsidRPr="005F7C5E">
        <w:rPr>
          <w:rFonts w:ascii="Garamond" w:hAnsi="Garamond" w:cs="Arial"/>
          <w:b/>
        </w:rPr>
        <w:t>folati</w:t>
      </w:r>
      <w:proofErr w:type="spellEnd"/>
      <w:r w:rsidRPr="005F7C5E">
        <w:rPr>
          <w:rFonts w:ascii="Garamond" w:hAnsi="Garamond" w:cs="Arial"/>
          <w:b/>
        </w:rPr>
        <w:t xml:space="preserve">, nella popolazione </w:t>
      </w:r>
      <w:proofErr w:type="spellStart"/>
      <w:r w:rsidRPr="005F7C5E">
        <w:rPr>
          <w:rFonts w:ascii="Garamond" w:hAnsi="Garamond" w:cs="Arial"/>
          <w:b/>
        </w:rPr>
        <w:t>Yaghnobi</w:t>
      </w:r>
      <w:proofErr w:type="spellEnd"/>
      <w:r w:rsidR="0017697B" w:rsidRPr="005F7C5E">
        <w:rPr>
          <w:rFonts w:ascii="Garamond" w:hAnsi="Garamond" w:cs="Arial"/>
        </w:rPr>
        <w:t xml:space="preserve"> </w:t>
      </w:r>
    </w:p>
    <w:p w:rsidR="00C30091" w:rsidRPr="005F7C5E" w:rsidRDefault="00C30091" w:rsidP="000E5F87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Gli studi di popolazione hanno mostrato una grande variabilità interindividuale ed interetnica nei geni che codificano per i principali enzimi che intervengono nei sistemi di riparazione del DNA, del ciclo dei </w:t>
      </w:r>
      <w:proofErr w:type="spellStart"/>
      <w:r w:rsidRPr="005F7C5E">
        <w:rPr>
          <w:rFonts w:ascii="Garamond" w:hAnsi="Garamond" w:cs="Arial"/>
        </w:rPr>
        <w:t>folati</w:t>
      </w:r>
      <w:proofErr w:type="spellEnd"/>
      <w:r w:rsidRPr="005F7C5E">
        <w:rPr>
          <w:rFonts w:ascii="Garamond" w:hAnsi="Garamond" w:cs="Arial"/>
        </w:rPr>
        <w:t xml:space="preserve">, e della </w:t>
      </w:r>
      <w:proofErr w:type="spellStart"/>
      <w:r w:rsidRPr="005F7C5E">
        <w:rPr>
          <w:rFonts w:ascii="Garamond" w:hAnsi="Garamond" w:cs="Arial"/>
        </w:rPr>
        <w:t>PgP</w:t>
      </w:r>
      <w:proofErr w:type="spellEnd"/>
      <w:r w:rsidRPr="005F7C5E">
        <w:rPr>
          <w:rFonts w:ascii="Garamond" w:hAnsi="Garamond" w:cs="Arial"/>
        </w:rPr>
        <w:t>, glicoproteina di membrana implicata nei processi di trasporto di farmaci</w:t>
      </w:r>
      <w:r w:rsidR="000274A9" w:rsidRPr="005F7C5E">
        <w:rPr>
          <w:rFonts w:ascii="Garamond" w:hAnsi="Garamond" w:cs="Arial"/>
        </w:rPr>
        <w:t xml:space="preserve"> e xenobiotici. I</w:t>
      </w:r>
      <w:r w:rsidRPr="005F7C5E">
        <w:rPr>
          <w:rFonts w:ascii="Garamond" w:hAnsi="Garamond" w:cs="Arial"/>
        </w:rPr>
        <w:t xml:space="preserve"> polimorfismi analizzati sono stati associati ad una maggiore suscettibilità a sviluppare patologie tumorali, come </w:t>
      </w:r>
      <w:r w:rsidR="00503721" w:rsidRPr="005F7C5E">
        <w:rPr>
          <w:rFonts w:ascii="Garamond" w:hAnsi="Garamond" w:cs="Arial"/>
        </w:rPr>
        <w:t xml:space="preserve">il </w:t>
      </w:r>
      <w:r w:rsidRPr="005F7C5E">
        <w:rPr>
          <w:rFonts w:ascii="Garamond" w:hAnsi="Garamond" w:cs="Arial"/>
        </w:rPr>
        <w:t xml:space="preserve">cancro al polmone (Huang </w:t>
      </w:r>
      <w:r w:rsidRPr="005F7C5E">
        <w:rPr>
          <w:rFonts w:ascii="Garamond" w:hAnsi="Garamond" w:cs="Arial"/>
          <w:i/>
        </w:rPr>
        <w:t>et al</w:t>
      </w:r>
      <w:r w:rsidR="00503721" w:rsidRPr="005F7C5E">
        <w:rPr>
          <w:rFonts w:ascii="Garamond" w:hAnsi="Garamond" w:cs="Arial"/>
        </w:rPr>
        <w:t>. 2013) o</w:t>
      </w:r>
      <w:r w:rsidRPr="005F7C5E">
        <w:rPr>
          <w:rFonts w:ascii="Garamond" w:hAnsi="Garamond" w:cs="Arial"/>
        </w:rPr>
        <w:t xml:space="preserve"> al colon-retto (Campa </w:t>
      </w:r>
      <w:r w:rsidRPr="005F7C5E">
        <w:rPr>
          <w:rFonts w:ascii="Garamond" w:hAnsi="Garamond" w:cs="Arial"/>
          <w:i/>
        </w:rPr>
        <w:t>et al</w:t>
      </w:r>
      <w:r w:rsidR="000274A9" w:rsidRPr="005F7C5E">
        <w:rPr>
          <w:rFonts w:ascii="Garamond" w:hAnsi="Garamond" w:cs="Arial"/>
        </w:rPr>
        <w:t>. 2012)</w:t>
      </w:r>
      <w:r w:rsidRPr="005F7C5E">
        <w:rPr>
          <w:rFonts w:ascii="Garamond" w:hAnsi="Garamond" w:cs="Arial"/>
        </w:rPr>
        <w:t>; altri si sono dimostrati importanti per definire il dosaggio ottimale di alcuni farmaci</w:t>
      </w:r>
      <w:r w:rsidR="00503721" w:rsidRPr="005F7C5E">
        <w:rPr>
          <w:rFonts w:ascii="Garamond" w:hAnsi="Garamond" w:cs="Arial"/>
        </w:rPr>
        <w:t xml:space="preserve"> come gli </w:t>
      </w:r>
      <w:r w:rsidRPr="005F7C5E">
        <w:rPr>
          <w:rFonts w:ascii="Garamond" w:hAnsi="Garamond" w:cs="Arial"/>
        </w:rPr>
        <w:t>antipsicotici (</w:t>
      </w:r>
      <w:proofErr w:type="spellStart"/>
      <w:r w:rsidRPr="005F7C5E">
        <w:rPr>
          <w:rFonts w:ascii="Garamond" w:hAnsi="Garamond" w:cs="Arial"/>
        </w:rPr>
        <w:t>Vijayan</w:t>
      </w:r>
      <w:proofErr w:type="spellEnd"/>
      <w:r w:rsidRPr="005F7C5E">
        <w:rPr>
          <w:rFonts w:ascii="Garamond" w:hAnsi="Garamond" w:cs="Arial"/>
        </w:rPr>
        <w:t xml:space="preserve"> </w:t>
      </w:r>
      <w:r w:rsidRPr="005F7C5E">
        <w:rPr>
          <w:rFonts w:ascii="Garamond" w:hAnsi="Garamond" w:cs="Arial"/>
          <w:i/>
        </w:rPr>
        <w:t>et al</w:t>
      </w:r>
      <w:r w:rsidRPr="005F7C5E">
        <w:rPr>
          <w:rFonts w:ascii="Garamond" w:hAnsi="Garamond" w:cs="Arial"/>
        </w:rPr>
        <w:t xml:space="preserve">. 2012) o la leucemia mieloide cronica (Angelini </w:t>
      </w:r>
      <w:r w:rsidRPr="005F7C5E">
        <w:rPr>
          <w:rFonts w:ascii="Garamond" w:hAnsi="Garamond" w:cs="Arial"/>
          <w:i/>
        </w:rPr>
        <w:t>et al.</w:t>
      </w:r>
      <w:r w:rsidR="000274A9" w:rsidRPr="005F7C5E">
        <w:rPr>
          <w:rFonts w:ascii="Garamond" w:hAnsi="Garamond" w:cs="Arial"/>
        </w:rPr>
        <w:t xml:space="preserve"> 2013)</w:t>
      </w:r>
      <w:r w:rsidRPr="005F7C5E">
        <w:rPr>
          <w:rFonts w:ascii="Garamond" w:hAnsi="Garamond" w:cs="Arial"/>
        </w:rPr>
        <w:t xml:space="preserve"> o sono stati associati alla comparsa di effetti collaterali </w:t>
      </w:r>
      <w:r w:rsidR="000274A9" w:rsidRPr="005F7C5E">
        <w:rPr>
          <w:rFonts w:ascii="Garamond" w:hAnsi="Garamond" w:cs="Arial"/>
        </w:rPr>
        <w:t>conseguenti all’uso d</w:t>
      </w:r>
      <w:r w:rsidR="00503721" w:rsidRPr="005F7C5E">
        <w:rPr>
          <w:rFonts w:ascii="Garamond" w:hAnsi="Garamond" w:cs="Arial"/>
        </w:rPr>
        <w:t xml:space="preserve">i </w:t>
      </w:r>
      <w:r w:rsidRPr="005F7C5E">
        <w:rPr>
          <w:rFonts w:ascii="Garamond" w:hAnsi="Garamond" w:cs="Arial"/>
        </w:rPr>
        <w:t>chemioterapici ad alte dosi (</w:t>
      </w:r>
      <w:proofErr w:type="spellStart"/>
      <w:r w:rsidRPr="005F7C5E">
        <w:rPr>
          <w:rFonts w:ascii="Garamond" w:hAnsi="Garamond" w:cs="Arial"/>
        </w:rPr>
        <w:t>Wei</w:t>
      </w:r>
      <w:proofErr w:type="spellEnd"/>
      <w:r w:rsidRPr="005F7C5E">
        <w:rPr>
          <w:rFonts w:ascii="Garamond" w:hAnsi="Garamond" w:cs="Arial"/>
        </w:rPr>
        <w:t xml:space="preserve"> </w:t>
      </w:r>
      <w:r w:rsidRPr="005F7C5E">
        <w:rPr>
          <w:rFonts w:ascii="Garamond" w:hAnsi="Garamond" w:cs="Arial"/>
          <w:i/>
        </w:rPr>
        <w:t>et al</w:t>
      </w:r>
      <w:r w:rsidR="00503721" w:rsidRPr="005F7C5E">
        <w:rPr>
          <w:rFonts w:ascii="Garamond" w:hAnsi="Garamond" w:cs="Arial"/>
        </w:rPr>
        <w:t>. 2012)</w:t>
      </w:r>
      <w:r w:rsidRPr="005F7C5E">
        <w:rPr>
          <w:rFonts w:ascii="Garamond" w:hAnsi="Garamond" w:cs="Arial"/>
        </w:rPr>
        <w:t>.</w:t>
      </w:r>
    </w:p>
    <w:p w:rsidR="00045B50" w:rsidRPr="005F7C5E" w:rsidRDefault="00C30091" w:rsidP="00045B50">
      <w:pPr>
        <w:tabs>
          <w:tab w:val="left" w:pos="1701"/>
        </w:tabs>
        <w:spacing w:after="0" w:line="360" w:lineRule="auto"/>
        <w:jc w:val="both"/>
        <w:rPr>
          <w:rFonts w:ascii="Garamond" w:hAnsi="Garamond"/>
        </w:rPr>
      </w:pPr>
      <w:r w:rsidRPr="005F7C5E">
        <w:rPr>
          <w:rFonts w:ascii="Garamond" w:hAnsi="Garamond"/>
        </w:rPr>
        <w:t xml:space="preserve">Nella tabella 1 sono riportate le frequenze alleliche e la distribuzione del genotipo di alcuni dei polimorfismi analizzati, per gli </w:t>
      </w:r>
      <w:proofErr w:type="spellStart"/>
      <w:r w:rsidRPr="005F7C5E">
        <w:rPr>
          <w:rFonts w:ascii="Garamond" w:hAnsi="Garamond"/>
        </w:rPr>
        <w:t>Yaghnobi</w:t>
      </w:r>
      <w:proofErr w:type="spellEnd"/>
      <w:r w:rsidRPr="005F7C5E">
        <w:rPr>
          <w:rFonts w:ascii="Garamond" w:hAnsi="Garamond"/>
        </w:rPr>
        <w:t xml:space="preserve"> nonché in una popolazione di origine asiatica ed una di origine caucasica pr</w:t>
      </w:r>
      <w:r w:rsidR="006203D0" w:rsidRPr="005F7C5E">
        <w:rPr>
          <w:rFonts w:ascii="Garamond" w:hAnsi="Garamond"/>
        </w:rPr>
        <w:t>ese a confronto</w:t>
      </w:r>
      <w:r w:rsidRPr="005F7C5E">
        <w:rPr>
          <w:rFonts w:ascii="Garamond" w:hAnsi="Garamond"/>
        </w:rPr>
        <w:t>.</w:t>
      </w:r>
    </w:p>
    <w:p w:rsidR="00045B50" w:rsidRDefault="00045B50" w:rsidP="00045B50">
      <w:pPr>
        <w:tabs>
          <w:tab w:val="left" w:pos="1701"/>
        </w:tabs>
        <w:spacing w:line="360" w:lineRule="auto"/>
        <w:jc w:val="both"/>
        <w:rPr>
          <w:rFonts w:ascii="Garamond" w:hAnsi="Garamond"/>
        </w:rPr>
      </w:pPr>
      <w:r w:rsidRPr="005F7C5E">
        <w:rPr>
          <w:rFonts w:ascii="Garamond" w:hAnsi="Garamond"/>
        </w:rPr>
        <w:t>La frequenza (</w:t>
      </w:r>
      <w:r w:rsidRPr="005F7C5E">
        <w:rPr>
          <w:rFonts w:ascii="Garamond" w:hAnsi="Garamond"/>
          <w:i/>
        </w:rPr>
        <w:t>q</w:t>
      </w:r>
      <w:r w:rsidRPr="005F7C5E">
        <w:rPr>
          <w:rFonts w:ascii="Garamond" w:hAnsi="Garamond"/>
        </w:rPr>
        <w:t xml:space="preserve">) dell’allele polimorfo è molto più simile a quella dei caucasici piuttosto che a quella della popolazione asiatica. Talvolta le differenze osservate sono statisticamente significative. Ad esempio per il polimorfismo di XRCC1 si osserva una frequenza </w:t>
      </w:r>
      <w:r w:rsidRPr="005F7C5E">
        <w:rPr>
          <w:rFonts w:ascii="Garamond" w:hAnsi="Garamond"/>
          <w:i/>
        </w:rPr>
        <w:t>q</w:t>
      </w:r>
      <w:r w:rsidRPr="005F7C5E">
        <w:rPr>
          <w:rFonts w:ascii="Garamond" w:hAnsi="Garamond"/>
        </w:rPr>
        <w:t xml:space="preserve">= 0.42 nella popolazione della vallata </w:t>
      </w:r>
      <w:r w:rsidRPr="005F7C5E">
        <w:rPr>
          <w:rFonts w:ascii="Garamond" w:hAnsi="Garamond"/>
          <w:i/>
        </w:rPr>
        <w:t>vs</w:t>
      </w:r>
      <w:r w:rsidRPr="005F7C5E">
        <w:rPr>
          <w:rFonts w:ascii="Garamond" w:hAnsi="Garamond"/>
        </w:rPr>
        <w:t xml:space="preserve"> </w:t>
      </w:r>
      <w:r w:rsidRPr="005F7C5E">
        <w:rPr>
          <w:rFonts w:ascii="Garamond" w:hAnsi="Garamond"/>
          <w:i/>
        </w:rPr>
        <w:t>q</w:t>
      </w:r>
      <w:r w:rsidRPr="005F7C5E">
        <w:rPr>
          <w:rFonts w:ascii="Garamond" w:hAnsi="Garamond"/>
        </w:rPr>
        <w:t>= 0.07 della popolazione asiatica (</w:t>
      </w:r>
      <w:r w:rsidRPr="005F7C5E">
        <w:rPr>
          <w:rFonts w:ascii="Garamond" w:hAnsi="Garamond"/>
          <w:i/>
        </w:rPr>
        <w:t xml:space="preserve">P </w:t>
      </w:r>
      <w:r w:rsidRPr="005F7C5E">
        <w:rPr>
          <w:rFonts w:ascii="Garamond" w:hAnsi="Garamond"/>
        </w:rPr>
        <w:t xml:space="preserve">&lt; 0.0001) e </w:t>
      </w:r>
      <w:r w:rsidRPr="005F7C5E">
        <w:rPr>
          <w:rFonts w:ascii="Garamond" w:hAnsi="Garamond"/>
          <w:i/>
        </w:rPr>
        <w:t>q</w:t>
      </w:r>
      <w:r w:rsidRPr="005F7C5E">
        <w:rPr>
          <w:rFonts w:ascii="Garamond" w:hAnsi="Garamond"/>
        </w:rPr>
        <w:t xml:space="preserve"> = 0.34 nella popolazione caucasica (</w:t>
      </w:r>
      <w:r w:rsidRPr="005F7C5E">
        <w:rPr>
          <w:rFonts w:ascii="Garamond" w:hAnsi="Garamond"/>
          <w:i/>
        </w:rPr>
        <w:t>P</w:t>
      </w:r>
      <w:r w:rsidRPr="005F7C5E">
        <w:rPr>
          <w:rFonts w:ascii="Garamond" w:hAnsi="Garamond"/>
        </w:rPr>
        <w:t xml:space="preserve"> = 0.248). La stesso livello di significatività si osserva nella frequenza dell’allele polimorfo nel gene XPD10 (0.34 </w:t>
      </w:r>
      <w:r w:rsidRPr="005F7C5E">
        <w:rPr>
          <w:rFonts w:ascii="Garamond" w:hAnsi="Garamond"/>
          <w:i/>
        </w:rPr>
        <w:t>vs</w:t>
      </w:r>
      <w:r w:rsidRPr="005F7C5E">
        <w:rPr>
          <w:rFonts w:ascii="Garamond" w:hAnsi="Garamond"/>
        </w:rPr>
        <w:t xml:space="preserve"> 0.07 </w:t>
      </w:r>
      <w:r w:rsidRPr="005F7C5E">
        <w:rPr>
          <w:rFonts w:ascii="Garamond" w:hAnsi="Garamond"/>
          <w:i/>
        </w:rPr>
        <w:t>vs</w:t>
      </w:r>
      <w:r w:rsidRPr="005F7C5E">
        <w:rPr>
          <w:rFonts w:ascii="Garamond" w:hAnsi="Garamond"/>
        </w:rPr>
        <w:t xml:space="preserve"> 0.40 rispettivamente nella popolazione del Tajikistan, asiatica e caucasica).</w:t>
      </w:r>
    </w:p>
    <w:p w:rsidR="00F7627A" w:rsidRPr="005F7C5E" w:rsidRDefault="00F7627A" w:rsidP="00045B50">
      <w:pPr>
        <w:tabs>
          <w:tab w:val="left" w:pos="1701"/>
        </w:tabs>
        <w:spacing w:line="360" w:lineRule="auto"/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1945"/>
        <w:gridCol w:w="1931"/>
        <w:gridCol w:w="1963"/>
        <w:gridCol w:w="1847"/>
      </w:tblGrid>
      <w:tr w:rsidR="00C30091" w:rsidRPr="005F7C5E" w:rsidTr="00F7627A">
        <w:tc>
          <w:tcPr>
            <w:tcW w:w="2162" w:type="dxa"/>
            <w:tcBorders>
              <w:top w:val="single" w:sz="4" w:space="0" w:color="auto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  <w:b/>
              </w:rPr>
            </w:pPr>
            <w:r w:rsidRPr="005F7C5E">
              <w:rPr>
                <w:rFonts w:ascii="Garamond" w:hAnsi="Garamond" w:cs="Arial"/>
                <w:b/>
              </w:rPr>
              <w:t xml:space="preserve">Popolazione 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  <w:b/>
              </w:rPr>
            </w:pPr>
            <w:r w:rsidRPr="005F7C5E">
              <w:rPr>
                <w:rFonts w:ascii="Garamond" w:hAnsi="Garamond" w:cs="Arial"/>
                <w:b/>
              </w:rPr>
              <w:t xml:space="preserve">Ho- </w:t>
            </w:r>
            <w:proofErr w:type="spellStart"/>
            <w:r w:rsidRPr="005F7C5E">
              <w:rPr>
                <w:rFonts w:ascii="Garamond" w:hAnsi="Garamond" w:cs="Arial"/>
                <w:b/>
              </w:rPr>
              <w:t>wt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  <w:b/>
              </w:rPr>
            </w:pPr>
            <w:r w:rsidRPr="005F7C5E">
              <w:rPr>
                <w:rFonts w:ascii="Garamond" w:hAnsi="Garamond" w:cs="Arial"/>
                <w:b/>
              </w:rPr>
              <w:t>HE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  <w:b/>
              </w:rPr>
            </w:pPr>
            <w:r w:rsidRPr="005F7C5E">
              <w:rPr>
                <w:rFonts w:ascii="Garamond" w:hAnsi="Garamond" w:cs="Arial"/>
                <w:b/>
              </w:rPr>
              <w:t>HO-SNP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  <w:b/>
              </w:rPr>
            </w:pPr>
            <w:r w:rsidRPr="005F7C5E">
              <w:rPr>
                <w:rFonts w:ascii="Garamond" w:hAnsi="Garamond" w:cs="Arial"/>
                <w:b/>
                <w:i/>
              </w:rPr>
              <w:t>q</w:t>
            </w:r>
            <w:r w:rsidRPr="005F7C5E">
              <w:rPr>
                <w:rFonts w:ascii="Garamond" w:hAnsi="Garamond" w:cs="Arial"/>
                <w:b/>
              </w:rPr>
              <w:t xml:space="preserve"> </w:t>
            </w:r>
            <w:r w:rsidRPr="005F7C5E">
              <w:rPr>
                <w:rFonts w:ascii="Garamond" w:hAnsi="Garamond" w:cs="Arial"/>
                <w:b/>
                <w:vertAlign w:val="subscript"/>
              </w:rPr>
              <w:t>SNP</w:t>
            </w:r>
          </w:p>
        </w:tc>
      </w:tr>
      <w:tr w:rsidR="00C30091" w:rsidRPr="005F7C5E" w:rsidTr="00F7627A">
        <w:tc>
          <w:tcPr>
            <w:tcW w:w="2162" w:type="dxa"/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  <w:b/>
              </w:rPr>
            </w:pPr>
            <w:r w:rsidRPr="005F7C5E">
              <w:rPr>
                <w:rFonts w:ascii="Garamond" w:hAnsi="Garamond" w:cs="Arial"/>
                <w:b/>
              </w:rPr>
              <w:t xml:space="preserve">APEX 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Tajikistan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Asiatici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Caucasici</w:t>
            </w:r>
          </w:p>
        </w:tc>
        <w:tc>
          <w:tcPr>
            <w:tcW w:w="1945" w:type="dxa"/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27.0%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29.6%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33.9%</w:t>
            </w:r>
          </w:p>
        </w:tc>
        <w:tc>
          <w:tcPr>
            <w:tcW w:w="1931" w:type="dxa"/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44.4%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49.6%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48.2%</w:t>
            </w:r>
          </w:p>
        </w:tc>
        <w:tc>
          <w:tcPr>
            <w:tcW w:w="1963" w:type="dxa"/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28.6%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20.7%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17,9%</w:t>
            </w:r>
          </w:p>
        </w:tc>
        <w:tc>
          <w:tcPr>
            <w:tcW w:w="1847" w:type="dxa"/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0.51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0.46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0.42</w:t>
            </w:r>
          </w:p>
        </w:tc>
      </w:tr>
      <w:tr w:rsidR="00C30091" w:rsidRPr="005F7C5E" w:rsidTr="00F7627A">
        <w:tc>
          <w:tcPr>
            <w:tcW w:w="2162" w:type="dxa"/>
            <w:tcBorders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  <w:b/>
              </w:rPr>
              <w:t xml:space="preserve">XRCC1 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Tajikistan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Asiatici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Caucasici</w:t>
            </w:r>
          </w:p>
        </w:tc>
        <w:tc>
          <w:tcPr>
            <w:tcW w:w="1945" w:type="dxa"/>
            <w:tcBorders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51.2%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52.4%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39.3%</w:t>
            </w:r>
          </w:p>
        </w:tc>
        <w:tc>
          <w:tcPr>
            <w:tcW w:w="1931" w:type="dxa"/>
            <w:tcBorders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38.8%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40.5%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44.6%</w:t>
            </w:r>
          </w:p>
        </w:tc>
        <w:tc>
          <w:tcPr>
            <w:tcW w:w="1963" w:type="dxa"/>
            <w:tcBorders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10.0%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7.1%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16.1%</w:t>
            </w:r>
          </w:p>
        </w:tc>
        <w:tc>
          <w:tcPr>
            <w:tcW w:w="1847" w:type="dxa"/>
            <w:tcBorders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0.29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0.27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0.38</w:t>
            </w:r>
          </w:p>
        </w:tc>
      </w:tr>
      <w:tr w:rsidR="00C30091" w:rsidRPr="005F7C5E" w:rsidTr="00F7627A">
        <w:tc>
          <w:tcPr>
            <w:tcW w:w="2162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  <w:b/>
              </w:rPr>
              <w:t xml:space="preserve">XRCC3 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Tajikistan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Asiatici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Caucasici</w:t>
            </w:r>
          </w:p>
        </w:tc>
        <w:tc>
          <w:tcPr>
            <w:tcW w:w="1945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33.8%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86.7%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42.6%</w:t>
            </w:r>
          </w:p>
        </w:tc>
        <w:tc>
          <w:tcPr>
            <w:tcW w:w="1931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47.9%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13.3%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46.3%</w:t>
            </w:r>
          </w:p>
        </w:tc>
        <w:tc>
          <w:tcPr>
            <w:tcW w:w="1963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18.3%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0.0%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11.1%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0.42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0.07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0.34</w:t>
            </w:r>
          </w:p>
        </w:tc>
      </w:tr>
      <w:tr w:rsidR="00C30091" w:rsidRPr="005F7C5E" w:rsidTr="00F7627A">
        <w:tc>
          <w:tcPr>
            <w:tcW w:w="2162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  <w:b/>
              </w:rPr>
              <w:t xml:space="preserve">XPD10 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Tajikistan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Asiatici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Caucasici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38.1%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86.7%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30.4%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54.9%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13.3%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58.9%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7.0%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0.0%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10.7%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0.34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0.07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0.40</w:t>
            </w:r>
          </w:p>
        </w:tc>
      </w:tr>
      <w:tr w:rsidR="00C30091" w:rsidRPr="005F7C5E" w:rsidTr="00F7627A">
        <w:tc>
          <w:tcPr>
            <w:tcW w:w="2162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  <w:b/>
              </w:rPr>
              <w:t>ABCB1 Ile1145=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Tajikistan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Asiatici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lastRenderedPageBreak/>
              <w:t>Caucasici</w:t>
            </w:r>
          </w:p>
        </w:tc>
        <w:tc>
          <w:tcPr>
            <w:tcW w:w="1945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24.3%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48.9%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lastRenderedPageBreak/>
              <w:t>13.3%</w:t>
            </w:r>
          </w:p>
        </w:tc>
        <w:tc>
          <w:tcPr>
            <w:tcW w:w="1931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40.5%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40.0%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lastRenderedPageBreak/>
              <w:t>51.7%</w:t>
            </w:r>
          </w:p>
        </w:tc>
        <w:tc>
          <w:tcPr>
            <w:tcW w:w="1963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35.1%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11.1%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lastRenderedPageBreak/>
              <w:t>35.0%</w:t>
            </w:r>
          </w:p>
        </w:tc>
        <w:tc>
          <w:tcPr>
            <w:tcW w:w="1847" w:type="dxa"/>
            <w:tcBorders>
              <w:top w:val="nil"/>
              <w:bottom w:val="nil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0.54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0.31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lastRenderedPageBreak/>
              <w:t>0.61</w:t>
            </w:r>
          </w:p>
        </w:tc>
      </w:tr>
      <w:tr w:rsidR="00C30091" w:rsidRPr="005F7C5E" w:rsidTr="00F7627A">
        <w:tc>
          <w:tcPr>
            <w:tcW w:w="2162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  <w:b/>
              </w:rPr>
              <w:lastRenderedPageBreak/>
              <w:t xml:space="preserve">ABCB1 Ser839Ala 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Tajikistan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Asiatici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Caucasici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29.6%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26.9%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25.7%</w:t>
            </w: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43.7%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34.1%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54.9%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26.8%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39.0%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19.0%</w:t>
            </w:r>
          </w:p>
        </w:tc>
        <w:tc>
          <w:tcPr>
            <w:tcW w:w="1847" w:type="dxa"/>
            <w:tcBorders>
              <w:top w:val="nil"/>
              <w:bottom w:val="nil"/>
            </w:tcBorders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0.49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0.62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0.47</w:t>
            </w:r>
          </w:p>
        </w:tc>
      </w:tr>
      <w:tr w:rsidR="00C30091" w:rsidRPr="005F7C5E" w:rsidTr="00F7627A">
        <w:tc>
          <w:tcPr>
            <w:tcW w:w="2162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  <w:b/>
              </w:rPr>
              <w:t>ABCB1 Gly412</w:t>
            </w:r>
            <w:r w:rsidRPr="005F7C5E">
              <w:rPr>
                <w:rFonts w:ascii="Garamond" w:hAnsi="Garamond" w:cs="Arial"/>
              </w:rPr>
              <w:t xml:space="preserve"> 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Tajikistan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Asiatici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right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Caucasici</w:t>
            </w:r>
          </w:p>
        </w:tc>
        <w:tc>
          <w:tcPr>
            <w:tcW w:w="1945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46.6%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38.1%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26.5%</w:t>
            </w:r>
          </w:p>
        </w:tc>
        <w:tc>
          <w:tcPr>
            <w:tcW w:w="1931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35.6%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21.4%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16.8%</w:t>
            </w: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17.8%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21.4%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16.8%</w:t>
            </w:r>
          </w:p>
        </w:tc>
        <w:tc>
          <w:tcPr>
            <w:tcW w:w="1847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0.36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0.42</w:t>
            </w:r>
          </w:p>
          <w:p w:rsidR="00C30091" w:rsidRPr="005F7C5E" w:rsidRDefault="00C30091" w:rsidP="00391F35">
            <w:pPr>
              <w:tabs>
                <w:tab w:val="left" w:pos="1701"/>
              </w:tabs>
              <w:spacing w:after="0"/>
              <w:jc w:val="both"/>
              <w:rPr>
                <w:rFonts w:ascii="Garamond" w:hAnsi="Garamond" w:cs="Arial"/>
              </w:rPr>
            </w:pPr>
            <w:r w:rsidRPr="005F7C5E">
              <w:rPr>
                <w:rFonts w:ascii="Garamond" w:hAnsi="Garamond" w:cs="Arial"/>
              </w:rPr>
              <w:t>0.45</w:t>
            </w:r>
          </w:p>
        </w:tc>
      </w:tr>
    </w:tbl>
    <w:p w:rsidR="00C30091" w:rsidRPr="005F7C5E" w:rsidRDefault="00C30091" w:rsidP="001E5CFD">
      <w:pPr>
        <w:tabs>
          <w:tab w:val="left" w:pos="1701"/>
        </w:tabs>
        <w:spacing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Tabella1 </w:t>
      </w:r>
      <w:r w:rsidRPr="005F7C5E">
        <w:rPr>
          <w:rFonts w:ascii="Garamond" w:hAnsi="Garamond"/>
        </w:rPr>
        <w:t>Frequenze alleliche e distribuzione del genotipo di alcuni dei polimorfismi analizzati</w:t>
      </w:r>
    </w:p>
    <w:p w:rsidR="00C30091" w:rsidRPr="005F7C5E" w:rsidRDefault="00C30091" w:rsidP="000305B6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ahoma"/>
          <w:lang w:eastAsia="it-IT"/>
        </w:rPr>
      </w:pPr>
    </w:p>
    <w:p w:rsidR="00C30091" w:rsidRPr="005F7C5E" w:rsidRDefault="00C30091" w:rsidP="00CB7FAD">
      <w:pPr>
        <w:tabs>
          <w:tab w:val="left" w:pos="1701"/>
        </w:tabs>
        <w:spacing w:line="360" w:lineRule="auto"/>
        <w:jc w:val="both"/>
        <w:rPr>
          <w:rFonts w:ascii="Garamond" w:hAnsi="Garamond" w:cs="Arial"/>
          <w:b/>
        </w:rPr>
      </w:pPr>
      <w:proofErr w:type="spellStart"/>
      <w:r w:rsidRPr="005F7C5E">
        <w:rPr>
          <w:rFonts w:ascii="Garamond" w:hAnsi="Garamond" w:cs="Arial"/>
          <w:b/>
        </w:rPr>
        <w:t>Sottoprogetto</w:t>
      </w:r>
      <w:proofErr w:type="spellEnd"/>
      <w:r w:rsidRPr="005F7C5E">
        <w:rPr>
          <w:rFonts w:ascii="Garamond" w:hAnsi="Garamond" w:cs="Arial"/>
          <w:b/>
        </w:rPr>
        <w:t xml:space="preserve"> 4: Variazione del gene </w:t>
      </w:r>
      <w:r w:rsidRPr="005F7C5E">
        <w:rPr>
          <w:rFonts w:ascii="Garamond" w:hAnsi="Garamond" w:cs="Arial"/>
          <w:b/>
          <w:i/>
        </w:rPr>
        <w:t>CYP2D6</w:t>
      </w:r>
      <w:r w:rsidRPr="005F7C5E">
        <w:rPr>
          <w:rFonts w:ascii="Garamond" w:hAnsi="Garamond" w:cs="Arial"/>
          <w:b/>
        </w:rPr>
        <w:t xml:space="preserve"> nella popolazione </w:t>
      </w:r>
      <w:proofErr w:type="spellStart"/>
      <w:r w:rsidRPr="005F7C5E">
        <w:rPr>
          <w:rFonts w:ascii="Garamond" w:hAnsi="Garamond" w:cs="Arial"/>
          <w:b/>
        </w:rPr>
        <w:t>Yaghnobi</w:t>
      </w:r>
      <w:proofErr w:type="spellEnd"/>
      <w:r w:rsidRPr="005F7C5E">
        <w:rPr>
          <w:rFonts w:ascii="Garamond" w:hAnsi="Garamond" w:cs="Arial"/>
          <w:b/>
        </w:rPr>
        <w:t xml:space="preserve">: studio farmacogenetico di un polimorfismo sensibile agli stili di vita, alle abitudini alimentari ed al contesto culturale. </w:t>
      </w:r>
    </w:p>
    <w:p w:rsidR="00C30091" w:rsidRPr="005F7C5E" w:rsidRDefault="00BB262E" w:rsidP="00CB7FAD">
      <w:pPr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La ricerca è stata incentrata sull’analisi del </w:t>
      </w:r>
      <w:r w:rsidR="00C30091" w:rsidRPr="005F7C5E">
        <w:rPr>
          <w:rFonts w:ascii="Garamond" w:hAnsi="Garamond" w:cs="Arial"/>
        </w:rPr>
        <w:t>citocromo P450</w:t>
      </w:r>
      <w:r w:rsidRPr="005F7C5E">
        <w:rPr>
          <w:rFonts w:ascii="Garamond" w:hAnsi="Garamond" w:cs="Arial"/>
        </w:rPr>
        <w:t xml:space="preserve"> un</w:t>
      </w:r>
      <w:r w:rsidR="00C30091" w:rsidRPr="005F7C5E">
        <w:rPr>
          <w:rFonts w:ascii="Garamond" w:hAnsi="Garamond" w:cs="Arial"/>
        </w:rPr>
        <w:t xml:space="preserve"> </w:t>
      </w:r>
      <w:r w:rsidRPr="005F7C5E">
        <w:rPr>
          <w:rFonts w:ascii="Garamond" w:hAnsi="Garamond" w:cs="Arial"/>
        </w:rPr>
        <w:t>sistema enzimatico che ricopre un ruolo fondamentale</w:t>
      </w:r>
      <w:r w:rsidR="00C30091" w:rsidRPr="005F7C5E">
        <w:rPr>
          <w:rFonts w:ascii="Garamond" w:hAnsi="Garamond" w:cs="Arial"/>
        </w:rPr>
        <w:t xml:space="preserve"> nell’evoluzione di strategie adattative essendo implicato nella biotrasformazione di un’ampia gamma di composti sia endogeni (steroidi, acidi grassi</w:t>
      </w:r>
      <w:r w:rsidR="00503721" w:rsidRPr="005F7C5E">
        <w:rPr>
          <w:rFonts w:ascii="Garamond" w:hAnsi="Garamond" w:cs="Arial"/>
        </w:rPr>
        <w:t xml:space="preserve"> e prostaglandine) che esogeni </w:t>
      </w:r>
      <w:r w:rsidRPr="005F7C5E">
        <w:rPr>
          <w:rFonts w:ascii="Garamond" w:hAnsi="Garamond" w:cs="Arial"/>
        </w:rPr>
        <w:t>(inquinanti, pesticidi, tossine, composti della dieta, farmaci e cancerogeni</w:t>
      </w:r>
      <w:r w:rsidR="00045B50" w:rsidRPr="005F7C5E">
        <w:rPr>
          <w:rFonts w:ascii="Garamond" w:hAnsi="Garamond" w:cs="Arial"/>
        </w:rPr>
        <w:t>)</w:t>
      </w:r>
      <w:r w:rsidRPr="005F7C5E">
        <w:rPr>
          <w:rFonts w:ascii="Garamond" w:hAnsi="Garamond" w:cs="Arial"/>
        </w:rPr>
        <w:t>.</w:t>
      </w:r>
      <w:r w:rsidR="00045B50" w:rsidRPr="005F7C5E">
        <w:rPr>
          <w:rFonts w:ascii="Garamond" w:hAnsi="Garamond" w:cs="Arial"/>
        </w:rPr>
        <w:t xml:space="preserve"> In base al polimorfismo del gene CYP2D6 si distinguono a seconda della efficienza metabolica, quattro classi di </w:t>
      </w:r>
      <w:proofErr w:type="spellStart"/>
      <w:r w:rsidR="00045B50" w:rsidRPr="005F7C5E">
        <w:rPr>
          <w:rFonts w:ascii="Garamond" w:hAnsi="Garamond" w:cs="Arial"/>
        </w:rPr>
        <w:t>metabolizzatori</w:t>
      </w:r>
      <w:proofErr w:type="spellEnd"/>
      <w:r w:rsidR="00045B50" w:rsidRPr="005F7C5E">
        <w:rPr>
          <w:rFonts w:ascii="Garamond" w:hAnsi="Garamond" w:cs="Arial"/>
        </w:rPr>
        <w:t xml:space="preserve"> la cui distribuzione mostra una grande variabilità interindividuale ed interetnica del gene (</w:t>
      </w:r>
      <w:proofErr w:type="spellStart"/>
      <w:r w:rsidR="00045B50" w:rsidRPr="005F7C5E">
        <w:rPr>
          <w:rFonts w:ascii="Garamond" w:hAnsi="Garamond" w:cs="Arial"/>
        </w:rPr>
        <w:t>Sistonen</w:t>
      </w:r>
      <w:proofErr w:type="spellEnd"/>
      <w:r w:rsidR="00045B50" w:rsidRPr="005F7C5E">
        <w:rPr>
          <w:rFonts w:ascii="Garamond" w:hAnsi="Garamond" w:cs="Arial"/>
        </w:rPr>
        <w:t xml:space="preserve"> </w:t>
      </w:r>
      <w:r w:rsidR="00045B50" w:rsidRPr="005F7C5E">
        <w:rPr>
          <w:rFonts w:ascii="Garamond" w:hAnsi="Garamond" w:cs="Arial"/>
          <w:i/>
        </w:rPr>
        <w:t>et al</w:t>
      </w:r>
      <w:r w:rsidR="00045B50" w:rsidRPr="005F7C5E">
        <w:rPr>
          <w:rFonts w:ascii="Garamond" w:hAnsi="Garamond" w:cs="Arial"/>
        </w:rPr>
        <w:t>., 2007).</w:t>
      </w:r>
    </w:p>
    <w:p w:rsidR="00C30091" w:rsidRPr="005F7C5E" w:rsidRDefault="00C30091" w:rsidP="00CB7FAD">
      <w:pPr>
        <w:tabs>
          <w:tab w:val="left" w:pos="1701"/>
        </w:tabs>
        <w:spacing w:line="360" w:lineRule="auto"/>
        <w:jc w:val="both"/>
        <w:rPr>
          <w:rFonts w:ascii="Garamond" w:hAnsi="Garamond" w:cs="Arial"/>
          <w:noProof/>
          <w:lang w:eastAsia="it-IT"/>
        </w:rPr>
      </w:pPr>
      <w:r w:rsidRPr="005F7C5E">
        <w:rPr>
          <w:rFonts w:ascii="Garamond" w:hAnsi="Garamond" w:cs="Arial"/>
        </w:rPr>
        <w:t xml:space="preserve">I grafici (Fig. 3) mostrano la distribuzione allelica e genotipica del locus </w:t>
      </w:r>
      <w:r w:rsidRPr="005F7C5E">
        <w:rPr>
          <w:rFonts w:ascii="Garamond" w:hAnsi="Garamond" w:cs="Arial"/>
          <w:i/>
        </w:rPr>
        <w:t>CYP2D6</w:t>
      </w:r>
      <w:r w:rsidR="00BB262E" w:rsidRPr="005F7C5E">
        <w:rPr>
          <w:rFonts w:ascii="Garamond" w:hAnsi="Garamond" w:cs="Arial"/>
        </w:rPr>
        <w:t xml:space="preserve"> nel campione </w:t>
      </w:r>
      <w:proofErr w:type="spellStart"/>
      <w:r w:rsidR="00BB262E" w:rsidRPr="005F7C5E">
        <w:rPr>
          <w:rFonts w:ascii="Garamond" w:hAnsi="Garamond" w:cs="Arial"/>
        </w:rPr>
        <w:t>Yaghnobi</w:t>
      </w:r>
      <w:proofErr w:type="spellEnd"/>
      <w:r w:rsidRPr="005F7C5E">
        <w:rPr>
          <w:rFonts w:ascii="Garamond" w:hAnsi="Garamond" w:cs="Arial"/>
        </w:rPr>
        <w:t xml:space="preserve">. </w:t>
      </w:r>
      <w:r w:rsidR="0031308A" w:rsidRPr="005F7C5E">
        <w:rPr>
          <w:rFonts w:ascii="Garamond" w:hAnsi="Garamond" w:cs="Arial"/>
          <w:noProof/>
          <w:lang w:eastAsia="it-IT"/>
        </w:rPr>
        <w:drawing>
          <wp:inline distT="0" distB="0" distL="0" distR="0" wp14:anchorId="3FD1CBB1" wp14:editId="6E801685">
            <wp:extent cx="2914650" cy="1609725"/>
            <wp:effectExtent l="0" t="0" r="0" b="9525"/>
            <wp:docPr id="3" name="Gra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8A" w:rsidRPr="005F7C5E">
        <w:rPr>
          <w:rFonts w:ascii="Garamond" w:hAnsi="Garamond" w:cs="Arial"/>
          <w:noProof/>
          <w:lang w:eastAsia="it-IT"/>
        </w:rPr>
        <w:drawing>
          <wp:inline distT="0" distB="0" distL="0" distR="0" wp14:anchorId="42ECE89F" wp14:editId="15A502CB">
            <wp:extent cx="2590800" cy="1609725"/>
            <wp:effectExtent l="0" t="0" r="0" b="9525"/>
            <wp:docPr id="4" name="Grafic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91" w:rsidRPr="005F7C5E" w:rsidRDefault="00C30091" w:rsidP="00CB7FAD">
      <w:pPr>
        <w:tabs>
          <w:tab w:val="left" w:pos="1701"/>
        </w:tabs>
        <w:spacing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  <w:noProof/>
          <w:lang w:eastAsia="it-IT"/>
        </w:rPr>
        <w:t>Fig. 3. Frequenze alleliche e genotipiche del polimorfismo al locus CYP2D6</w:t>
      </w:r>
    </w:p>
    <w:p w:rsidR="00C30091" w:rsidRPr="005F7C5E" w:rsidRDefault="00503721" w:rsidP="00CB7FAD">
      <w:pPr>
        <w:tabs>
          <w:tab w:val="left" w:pos="1701"/>
        </w:tabs>
        <w:spacing w:after="0"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t xml:space="preserve">La ricerca ha rivelato che </w:t>
      </w:r>
      <w:r w:rsidR="00C30091" w:rsidRPr="005F7C5E">
        <w:rPr>
          <w:rFonts w:ascii="Garamond" w:hAnsi="Garamond" w:cs="Arial"/>
        </w:rPr>
        <w:t xml:space="preserve">il gene </w:t>
      </w:r>
      <w:r w:rsidR="00C30091" w:rsidRPr="005F7C5E">
        <w:rPr>
          <w:rFonts w:ascii="Garamond" w:hAnsi="Garamond" w:cs="Arial"/>
          <w:i/>
        </w:rPr>
        <w:t>CYP2D6</w:t>
      </w:r>
      <w:r w:rsidR="00C30091" w:rsidRPr="005F7C5E">
        <w:rPr>
          <w:rFonts w:ascii="Garamond" w:hAnsi="Garamond" w:cs="Arial"/>
        </w:rPr>
        <w:t xml:space="preserve"> nella popolazione </w:t>
      </w:r>
      <w:proofErr w:type="spellStart"/>
      <w:r w:rsidR="00C30091" w:rsidRPr="005F7C5E">
        <w:rPr>
          <w:rFonts w:ascii="Garamond" w:hAnsi="Garamond" w:cs="Arial"/>
        </w:rPr>
        <w:t>Yaghno</w:t>
      </w:r>
      <w:r w:rsidRPr="005F7C5E">
        <w:rPr>
          <w:rFonts w:ascii="Garamond" w:hAnsi="Garamond" w:cs="Arial"/>
        </w:rPr>
        <w:t>bi</w:t>
      </w:r>
      <w:proofErr w:type="spellEnd"/>
      <w:r w:rsidRPr="005F7C5E">
        <w:rPr>
          <w:rFonts w:ascii="Garamond" w:hAnsi="Garamond" w:cs="Arial"/>
        </w:rPr>
        <w:t xml:space="preserve"> è</w:t>
      </w:r>
      <w:r w:rsidR="00C30091" w:rsidRPr="005F7C5E">
        <w:rPr>
          <w:rFonts w:ascii="Garamond" w:hAnsi="Garamond" w:cs="Arial"/>
        </w:rPr>
        <w:t xml:space="preserve"> scarsamente polimorfico, essendo state osservate solo 8 varianti alleliche delle 105 riportate (http://www.cypalleles.ki.se/cyp2b6.htm) da cui deriva la bassa variabilità genetica osservata che, in accordo con i risultati dell’analisi mitocondriale, potrebbe essere il riflesso del prolungato isolamento geografico e della riduzione della popolazione dovuta alla deportazione (</w:t>
      </w:r>
      <w:proofErr w:type="spellStart"/>
      <w:r w:rsidR="00C30091" w:rsidRPr="005F7C5E">
        <w:rPr>
          <w:rFonts w:ascii="Garamond" w:hAnsi="Garamond" w:cs="Arial"/>
        </w:rPr>
        <w:t>Cilli</w:t>
      </w:r>
      <w:proofErr w:type="spellEnd"/>
      <w:r w:rsidR="00C30091" w:rsidRPr="005F7C5E">
        <w:rPr>
          <w:rFonts w:ascii="Garamond" w:hAnsi="Garamond" w:cs="Arial"/>
        </w:rPr>
        <w:t xml:space="preserve"> </w:t>
      </w:r>
      <w:r w:rsidR="00C30091" w:rsidRPr="005F7C5E">
        <w:rPr>
          <w:rFonts w:ascii="Garamond" w:hAnsi="Garamond" w:cs="Arial"/>
          <w:i/>
        </w:rPr>
        <w:t>et al</w:t>
      </w:r>
      <w:r w:rsidR="00C30091" w:rsidRPr="005F7C5E">
        <w:rPr>
          <w:rFonts w:ascii="Garamond" w:hAnsi="Garamond" w:cs="Arial"/>
        </w:rPr>
        <w:t xml:space="preserve">., 2011). Il dato emergente dell’alta percentuale di individui </w:t>
      </w:r>
      <w:proofErr w:type="spellStart"/>
      <w:r w:rsidR="00C30091" w:rsidRPr="005F7C5E">
        <w:rPr>
          <w:rFonts w:ascii="Garamond" w:hAnsi="Garamond" w:cs="Arial"/>
        </w:rPr>
        <w:t>metabolizzatori</w:t>
      </w:r>
      <w:proofErr w:type="spellEnd"/>
      <w:r w:rsidR="00C30091" w:rsidRPr="005F7C5E">
        <w:rPr>
          <w:rFonts w:ascii="Garamond" w:hAnsi="Garamond" w:cs="Arial"/>
        </w:rPr>
        <w:t xml:space="preserve"> ultrarapidi, selezionatisi verosimilmente a causa della dieta e dell’isolamento geografico, richiederebbe il confronto con quello delle popolazioni limitrofe che, allo stato, non risultano tipizzate per il gene </w:t>
      </w:r>
      <w:r w:rsidR="00C30091" w:rsidRPr="005F7C5E">
        <w:rPr>
          <w:rFonts w:ascii="Garamond" w:hAnsi="Garamond" w:cs="Arial"/>
          <w:i/>
        </w:rPr>
        <w:t>CYP2D6.</w:t>
      </w:r>
    </w:p>
    <w:p w:rsidR="00BB262E" w:rsidRPr="005F7C5E" w:rsidRDefault="00BB262E" w:rsidP="00CB7FAD">
      <w:pPr>
        <w:tabs>
          <w:tab w:val="left" w:pos="1701"/>
        </w:tabs>
        <w:spacing w:line="360" w:lineRule="auto"/>
        <w:jc w:val="both"/>
        <w:rPr>
          <w:rFonts w:ascii="Garamond" w:hAnsi="Garamond" w:cs="Arial"/>
        </w:rPr>
      </w:pPr>
    </w:p>
    <w:p w:rsidR="00C30091" w:rsidRPr="005F7C5E" w:rsidRDefault="00D56366" w:rsidP="00CB7FAD">
      <w:pPr>
        <w:tabs>
          <w:tab w:val="left" w:pos="1701"/>
        </w:tabs>
        <w:spacing w:line="360" w:lineRule="auto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</w:rPr>
        <w:lastRenderedPageBreak/>
        <w:t>Lo studio</w:t>
      </w:r>
      <w:r w:rsidR="002712A1" w:rsidRPr="005F7C5E">
        <w:rPr>
          <w:rFonts w:ascii="Garamond" w:hAnsi="Garamond" w:cs="Arial"/>
        </w:rPr>
        <w:t xml:space="preserve"> condotto</w:t>
      </w:r>
      <w:r w:rsidRPr="005F7C5E">
        <w:rPr>
          <w:rFonts w:ascii="Garamond" w:hAnsi="Garamond" w:cs="Arial"/>
        </w:rPr>
        <w:t xml:space="preserve">, che promette ulteriori sviluppi grazie </w:t>
      </w:r>
      <w:r w:rsidR="002712A1" w:rsidRPr="005F7C5E">
        <w:rPr>
          <w:rFonts w:ascii="Garamond" w:hAnsi="Garamond" w:cs="Arial"/>
        </w:rPr>
        <w:t>ad un supplemento di ricerche</w:t>
      </w:r>
      <w:r w:rsidR="00670EDC" w:rsidRPr="005F7C5E">
        <w:rPr>
          <w:rFonts w:ascii="Garamond" w:hAnsi="Garamond" w:cs="Arial"/>
        </w:rPr>
        <w:t xml:space="preserve"> integrate, tuttora in corso, fra i gruppi che vi hanno lavorato,</w:t>
      </w:r>
      <w:r w:rsidR="002712A1" w:rsidRPr="005F7C5E">
        <w:rPr>
          <w:rFonts w:ascii="Garamond" w:hAnsi="Garamond" w:cs="Arial"/>
        </w:rPr>
        <w:t xml:space="preserve"> </w:t>
      </w:r>
      <w:r w:rsidRPr="005F7C5E">
        <w:rPr>
          <w:rFonts w:ascii="Garamond" w:hAnsi="Garamond" w:cs="Arial"/>
        </w:rPr>
        <w:t xml:space="preserve">ha dimostrato </w:t>
      </w:r>
      <w:r w:rsidR="00C30091" w:rsidRPr="005F7C5E">
        <w:rPr>
          <w:rFonts w:ascii="Garamond" w:hAnsi="Garamond" w:cs="Arial"/>
        </w:rPr>
        <w:t>che</w:t>
      </w:r>
      <w:r w:rsidR="00670EDC" w:rsidRPr="005F7C5E">
        <w:rPr>
          <w:rFonts w:ascii="Garamond" w:hAnsi="Garamond" w:cs="Arial"/>
        </w:rPr>
        <w:t>, in questo tipo di lavori</w:t>
      </w:r>
      <w:r w:rsidRPr="005F7C5E">
        <w:rPr>
          <w:rFonts w:ascii="Garamond" w:hAnsi="Garamond" w:cs="Arial"/>
        </w:rPr>
        <w:t>,</w:t>
      </w:r>
      <w:r w:rsidR="00C30091" w:rsidRPr="005F7C5E">
        <w:rPr>
          <w:rFonts w:ascii="Garamond" w:hAnsi="Garamond" w:cs="Arial"/>
        </w:rPr>
        <w:t xml:space="preserve"> l’approccio multi ed interdisciplinare adottato </w:t>
      </w:r>
      <w:r w:rsidR="002712A1" w:rsidRPr="005F7C5E">
        <w:rPr>
          <w:rFonts w:ascii="Garamond" w:hAnsi="Garamond" w:cs="Arial"/>
        </w:rPr>
        <w:t>costituisce</w:t>
      </w:r>
      <w:r w:rsidRPr="005F7C5E">
        <w:rPr>
          <w:rFonts w:ascii="Garamond" w:hAnsi="Garamond" w:cs="Arial"/>
        </w:rPr>
        <w:t xml:space="preserve"> il modo </w:t>
      </w:r>
      <w:r w:rsidR="00C30091" w:rsidRPr="005F7C5E">
        <w:rPr>
          <w:rFonts w:ascii="Garamond" w:hAnsi="Garamond" w:cs="Arial"/>
        </w:rPr>
        <w:t>ideale</w:t>
      </w:r>
      <w:r w:rsidRPr="005F7C5E">
        <w:rPr>
          <w:rFonts w:ascii="Garamond" w:hAnsi="Garamond" w:cs="Arial"/>
        </w:rPr>
        <w:t xml:space="preserve"> </w:t>
      </w:r>
      <w:r w:rsidR="00C30091" w:rsidRPr="005F7C5E">
        <w:rPr>
          <w:rFonts w:ascii="Garamond" w:hAnsi="Garamond" w:cs="Arial"/>
        </w:rPr>
        <w:t xml:space="preserve">per </w:t>
      </w:r>
      <w:r w:rsidRPr="005F7C5E">
        <w:rPr>
          <w:rFonts w:ascii="Garamond" w:hAnsi="Garamond" w:cs="Arial"/>
        </w:rPr>
        <w:t>considerare e chiarire</w:t>
      </w:r>
      <w:r w:rsidR="00C30091" w:rsidRPr="005F7C5E">
        <w:rPr>
          <w:rFonts w:ascii="Garamond" w:hAnsi="Garamond" w:cs="Arial"/>
        </w:rPr>
        <w:t xml:space="preserve"> il ruolo</w:t>
      </w:r>
      <w:r w:rsidR="00670EDC" w:rsidRPr="005F7C5E">
        <w:rPr>
          <w:rFonts w:ascii="Garamond" w:hAnsi="Garamond" w:cs="Arial"/>
        </w:rPr>
        <w:t xml:space="preserve"> dei diversi fattori storici, </w:t>
      </w:r>
      <w:proofErr w:type="spellStart"/>
      <w:r w:rsidR="00670EDC" w:rsidRPr="005F7C5E">
        <w:rPr>
          <w:rFonts w:ascii="Garamond" w:hAnsi="Garamond" w:cs="Arial"/>
        </w:rPr>
        <w:t>bioculturali</w:t>
      </w:r>
      <w:proofErr w:type="spellEnd"/>
      <w:r w:rsidR="00670EDC" w:rsidRPr="005F7C5E">
        <w:rPr>
          <w:rFonts w:ascii="Garamond" w:hAnsi="Garamond" w:cs="Arial"/>
        </w:rPr>
        <w:t>, genetici e ambientali coinvolti an</w:t>
      </w:r>
      <w:r w:rsidR="002712A1" w:rsidRPr="005F7C5E">
        <w:rPr>
          <w:rFonts w:ascii="Garamond" w:hAnsi="Garamond" w:cs="Arial"/>
        </w:rPr>
        <w:t>che allo scopo di arrivare ad estrapolare dal modello</w:t>
      </w:r>
      <w:r w:rsidR="00C30091" w:rsidRPr="005F7C5E">
        <w:rPr>
          <w:rFonts w:ascii="Garamond" w:hAnsi="Garamond" w:cs="Arial"/>
        </w:rPr>
        <w:t xml:space="preserve"> </w:t>
      </w:r>
      <w:proofErr w:type="spellStart"/>
      <w:r w:rsidR="00C30091" w:rsidRPr="005F7C5E">
        <w:rPr>
          <w:rFonts w:ascii="Garamond" w:hAnsi="Garamond" w:cs="Arial"/>
        </w:rPr>
        <w:t>Yaghnobi</w:t>
      </w:r>
      <w:proofErr w:type="spellEnd"/>
      <w:r w:rsidR="00C30091" w:rsidRPr="005F7C5E">
        <w:rPr>
          <w:rFonts w:ascii="Garamond" w:hAnsi="Garamond" w:cs="Arial"/>
        </w:rPr>
        <w:t xml:space="preserve">, </w:t>
      </w:r>
      <w:r w:rsidR="002712A1" w:rsidRPr="005F7C5E">
        <w:rPr>
          <w:rFonts w:ascii="Garamond" w:hAnsi="Garamond" w:cs="Arial"/>
        </w:rPr>
        <w:t>conoscenze di carattere più generale,</w:t>
      </w:r>
      <w:r w:rsidR="00AF273E" w:rsidRPr="005F7C5E">
        <w:rPr>
          <w:rFonts w:ascii="Garamond" w:hAnsi="Garamond" w:cs="Arial"/>
        </w:rPr>
        <w:t xml:space="preserve"> concernenti l’impiego di farmaci o di altre sostanze esogene.</w:t>
      </w:r>
    </w:p>
    <w:p w:rsidR="00F7627A" w:rsidRDefault="00F7627A" w:rsidP="00ED1805">
      <w:pPr>
        <w:spacing w:after="0" w:line="240" w:lineRule="auto"/>
        <w:ind w:left="360" w:hanging="360"/>
        <w:jc w:val="both"/>
        <w:rPr>
          <w:rFonts w:ascii="Garamond" w:hAnsi="Garamond" w:cs="Arial"/>
          <w:b/>
        </w:rPr>
      </w:pP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  <w:b/>
        </w:rPr>
      </w:pPr>
      <w:r w:rsidRPr="005F7C5E">
        <w:rPr>
          <w:rFonts w:ascii="Garamond" w:hAnsi="Garamond" w:cs="Arial"/>
          <w:b/>
        </w:rPr>
        <w:t>Bibliografia</w:t>
      </w:r>
    </w:p>
    <w:p w:rsidR="00F7627A" w:rsidRDefault="00F7627A" w:rsidP="00ED1805">
      <w:pPr>
        <w:spacing w:after="0" w:line="240" w:lineRule="auto"/>
        <w:ind w:left="360" w:hanging="360"/>
        <w:jc w:val="both"/>
        <w:rPr>
          <w:rFonts w:ascii="Garamond" w:hAnsi="Garamond" w:cs="Arial"/>
        </w:rPr>
      </w:pP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  <w:lang w:val="en-US"/>
        </w:rPr>
      </w:pPr>
      <w:r w:rsidRPr="005F7C5E">
        <w:rPr>
          <w:rFonts w:ascii="Garamond" w:hAnsi="Garamond" w:cs="Arial"/>
        </w:rPr>
        <w:t xml:space="preserve">Angelini S, </w:t>
      </w:r>
      <w:proofErr w:type="spellStart"/>
      <w:r w:rsidRPr="005F7C5E">
        <w:rPr>
          <w:rFonts w:ascii="Garamond" w:hAnsi="Garamond" w:cs="Arial"/>
        </w:rPr>
        <w:t>Soverini</w:t>
      </w:r>
      <w:proofErr w:type="spellEnd"/>
      <w:r w:rsidRPr="005F7C5E">
        <w:rPr>
          <w:rFonts w:ascii="Garamond" w:hAnsi="Garamond" w:cs="Arial"/>
        </w:rPr>
        <w:t xml:space="preserve"> S, </w:t>
      </w:r>
      <w:proofErr w:type="spellStart"/>
      <w:r w:rsidRPr="005F7C5E">
        <w:rPr>
          <w:rFonts w:ascii="Garamond" w:hAnsi="Garamond" w:cs="Arial"/>
        </w:rPr>
        <w:t>Ravegnni</w:t>
      </w:r>
      <w:proofErr w:type="spellEnd"/>
      <w:r w:rsidRPr="005F7C5E">
        <w:rPr>
          <w:rFonts w:ascii="Garamond" w:hAnsi="Garamond" w:cs="Arial"/>
        </w:rPr>
        <w:t xml:space="preserve"> G, et al. </w:t>
      </w:r>
      <w:r w:rsidRPr="005F7C5E">
        <w:rPr>
          <w:rFonts w:ascii="Garamond" w:hAnsi="Garamond" w:cs="Arial"/>
          <w:lang w:val="en-US"/>
        </w:rPr>
        <w:t xml:space="preserve">Association between </w:t>
      </w:r>
      <w:proofErr w:type="spellStart"/>
      <w:r w:rsidRPr="005F7C5E">
        <w:rPr>
          <w:rFonts w:ascii="Garamond" w:hAnsi="Garamond" w:cs="Arial"/>
          <w:lang w:val="en-US"/>
        </w:rPr>
        <w:t>imatinib</w:t>
      </w:r>
      <w:proofErr w:type="spellEnd"/>
      <w:r w:rsidRPr="005F7C5E">
        <w:rPr>
          <w:rFonts w:ascii="Garamond" w:hAnsi="Garamond" w:cs="Arial"/>
          <w:lang w:val="en-US"/>
        </w:rPr>
        <w:t xml:space="preserve"> transporters and metabolizing enzymes genotype and response in newly diagnosed chronic myeloid leukemia patients receiving </w:t>
      </w:r>
      <w:proofErr w:type="spellStart"/>
      <w:r w:rsidRPr="005F7C5E">
        <w:rPr>
          <w:rFonts w:ascii="Garamond" w:hAnsi="Garamond" w:cs="Arial"/>
          <w:lang w:val="en-US"/>
        </w:rPr>
        <w:t>imatinib</w:t>
      </w:r>
      <w:proofErr w:type="spellEnd"/>
      <w:r w:rsidRPr="005F7C5E">
        <w:rPr>
          <w:rFonts w:ascii="Garamond" w:hAnsi="Garamond" w:cs="Arial"/>
          <w:lang w:val="en-US"/>
        </w:rPr>
        <w:t xml:space="preserve"> therapy. </w:t>
      </w:r>
      <w:proofErr w:type="spellStart"/>
      <w:r w:rsidRPr="005F7C5E">
        <w:rPr>
          <w:rFonts w:ascii="Garamond" w:hAnsi="Garamond" w:cs="Arial"/>
          <w:lang w:val="en-US"/>
        </w:rPr>
        <w:t>Haematologica</w:t>
      </w:r>
      <w:proofErr w:type="spellEnd"/>
      <w:r w:rsidRPr="005F7C5E">
        <w:rPr>
          <w:rFonts w:ascii="Garamond" w:hAnsi="Garamond" w:cs="Arial"/>
          <w:lang w:val="en-US"/>
        </w:rPr>
        <w:t xml:space="preserve"> 98(2):193-200, 2013.</w:t>
      </w: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  <w:lang w:val="en-US"/>
        </w:rPr>
      </w:pPr>
      <w:proofErr w:type="spellStart"/>
      <w:r w:rsidRPr="005F7C5E">
        <w:rPr>
          <w:rFonts w:ascii="Garamond" w:hAnsi="Garamond" w:cs="Arial"/>
          <w:lang w:val="en-US"/>
        </w:rPr>
        <w:t>Campa</w:t>
      </w:r>
      <w:proofErr w:type="spellEnd"/>
      <w:r w:rsidRPr="005F7C5E">
        <w:rPr>
          <w:rFonts w:ascii="Garamond" w:hAnsi="Garamond" w:cs="Arial"/>
          <w:lang w:val="en-US"/>
        </w:rPr>
        <w:t xml:space="preserve"> D, </w:t>
      </w:r>
      <w:proofErr w:type="spellStart"/>
      <w:r w:rsidRPr="005F7C5E">
        <w:rPr>
          <w:rFonts w:ascii="Garamond" w:hAnsi="Garamond" w:cs="Arial"/>
          <w:lang w:val="en-US"/>
        </w:rPr>
        <w:t>Sainz</w:t>
      </w:r>
      <w:proofErr w:type="spellEnd"/>
      <w:r w:rsidRPr="005F7C5E">
        <w:rPr>
          <w:rFonts w:ascii="Garamond" w:hAnsi="Garamond" w:cs="Arial"/>
          <w:lang w:val="en-US"/>
        </w:rPr>
        <w:t xml:space="preserve"> J, </w:t>
      </w:r>
      <w:proofErr w:type="spellStart"/>
      <w:r w:rsidRPr="005F7C5E">
        <w:rPr>
          <w:rFonts w:ascii="Garamond" w:hAnsi="Garamond" w:cs="Arial"/>
          <w:lang w:val="en-US"/>
        </w:rPr>
        <w:t>Pardini</w:t>
      </w:r>
      <w:proofErr w:type="spellEnd"/>
      <w:r w:rsidRPr="005F7C5E">
        <w:rPr>
          <w:rFonts w:ascii="Garamond" w:hAnsi="Garamond" w:cs="Arial"/>
          <w:lang w:val="en-US"/>
        </w:rPr>
        <w:t xml:space="preserve"> B, et al. A comprehensive investigation on common polymorphisms in the MDR1/ABCB1 transporter gene and susceptibility to colorectal cancer. </w:t>
      </w:r>
      <w:proofErr w:type="spellStart"/>
      <w:r w:rsidRPr="005F7C5E">
        <w:rPr>
          <w:rFonts w:ascii="Garamond" w:hAnsi="Garamond" w:cs="Arial"/>
          <w:lang w:val="en-US"/>
        </w:rPr>
        <w:t>PLoS</w:t>
      </w:r>
      <w:proofErr w:type="spellEnd"/>
      <w:r w:rsidRPr="005F7C5E">
        <w:rPr>
          <w:rFonts w:ascii="Garamond" w:hAnsi="Garamond" w:cs="Arial"/>
          <w:lang w:val="en-US"/>
        </w:rPr>
        <w:t xml:space="preserve"> One 7(3):e32784, 2012.</w:t>
      </w: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  <w:lang w:val="en-US"/>
        </w:rPr>
      </w:pPr>
      <w:proofErr w:type="spellStart"/>
      <w:r w:rsidRPr="005F7C5E">
        <w:rPr>
          <w:rFonts w:ascii="Garamond" w:hAnsi="Garamond" w:cs="Arial"/>
          <w:lang w:val="en-US"/>
        </w:rPr>
        <w:t>Cilli</w:t>
      </w:r>
      <w:proofErr w:type="spellEnd"/>
      <w:r w:rsidRPr="005F7C5E">
        <w:rPr>
          <w:rFonts w:ascii="Garamond" w:hAnsi="Garamond" w:cs="Arial"/>
          <w:lang w:val="en-US"/>
        </w:rPr>
        <w:t xml:space="preserve"> E, </w:t>
      </w:r>
      <w:proofErr w:type="spellStart"/>
      <w:r w:rsidRPr="005F7C5E">
        <w:rPr>
          <w:rFonts w:ascii="Garamond" w:hAnsi="Garamond" w:cs="Arial"/>
          <w:lang w:val="en-US"/>
        </w:rPr>
        <w:t>Delaini</w:t>
      </w:r>
      <w:proofErr w:type="spellEnd"/>
      <w:r w:rsidRPr="005F7C5E">
        <w:rPr>
          <w:rFonts w:ascii="Garamond" w:hAnsi="Garamond" w:cs="Arial"/>
          <w:lang w:val="en-US"/>
        </w:rPr>
        <w:t xml:space="preserve"> P, </w:t>
      </w:r>
      <w:proofErr w:type="spellStart"/>
      <w:r w:rsidRPr="005F7C5E">
        <w:rPr>
          <w:rFonts w:ascii="Garamond" w:hAnsi="Garamond" w:cs="Arial"/>
          <w:lang w:val="en-US"/>
        </w:rPr>
        <w:t>Costazza</w:t>
      </w:r>
      <w:proofErr w:type="spellEnd"/>
      <w:r w:rsidRPr="005F7C5E">
        <w:rPr>
          <w:rFonts w:ascii="Garamond" w:hAnsi="Garamond" w:cs="Arial"/>
          <w:lang w:val="en-US"/>
        </w:rPr>
        <w:t xml:space="preserve"> B, </w:t>
      </w:r>
      <w:proofErr w:type="spellStart"/>
      <w:r w:rsidRPr="005F7C5E">
        <w:rPr>
          <w:rFonts w:ascii="Garamond" w:hAnsi="Garamond" w:cs="Arial"/>
          <w:lang w:val="en-US"/>
        </w:rPr>
        <w:t>Giacomello</w:t>
      </w:r>
      <w:proofErr w:type="spellEnd"/>
      <w:r w:rsidRPr="005F7C5E">
        <w:rPr>
          <w:rFonts w:ascii="Garamond" w:hAnsi="Garamond" w:cs="Arial"/>
          <w:lang w:val="en-US"/>
        </w:rPr>
        <w:t xml:space="preserve"> L, </w:t>
      </w:r>
      <w:proofErr w:type="spellStart"/>
      <w:r w:rsidRPr="005F7C5E">
        <w:rPr>
          <w:rFonts w:ascii="Garamond" w:hAnsi="Garamond" w:cs="Arial"/>
          <w:lang w:val="en-US"/>
        </w:rPr>
        <w:t>Panaino</w:t>
      </w:r>
      <w:proofErr w:type="spellEnd"/>
      <w:r w:rsidRPr="005F7C5E">
        <w:rPr>
          <w:rFonts w:ascii="Garamond" w:hAnsi="Garamond" w:cs="Arial"/>
          <w:lang w:val="en-US"/>
        </w:rPr>
        <w:t xml:space="preserve"> A, </w:t>
      </w:r>
      <w:proofErr w:type="spellStart"/>
      <w:r w:rsidRPr="005F7C5E">
        <w:rPr>
          <w:rFonts w:ascii="Garamond" w:hAnsi="Garamond" w:cs="Arial"/>
          <w:lang w:val="en-US"/>
        </w:rPr>
        <w:t>Gruppioni</w:t>
      </w:r>
      <w:proofErr w:type="spellEnd"/>
      <w:r w:rsidRPr="005F7C5E">
        <w:rPr>
          <w:rFonts w:ascii="Garamond" w:hAnsi="Garamond" w:cs="Arial"/>
          <w:lang w:val="en-US"/>
        </w:rPr>
        <w:t xml:space="preserve"> G (2011) Ethno-anthropological and genetic study of the </w:t>
      </w:r>
      <w:proofErr w:type="spellStart"/>
      <w:r w:rsidRPr="005F7C5E">
        <w:rPr>
          <w:rFonts w:ascii="Garamond" w:hAnsi="Garamond" w:cs="Arial"/>
          <w:lang w:val="en-US"/>
        </w:rPr>
        <w:t>Yaghnobis</w:t>
      </w:r>
      <w:proofErr w:type="spellEnd"/>
      <w:r w:rsidRPr="005F7C5E">
        <w:rPr>
          <w:rFonts w:ascii="Garamond" w:hAnsi="Garamond" w:cs="Arial"/>
          <w:lang w:val="en-US"/>
        </w:rPr>
        <w:t xml:space="preserve">; an isolated community in Central Asia. A preliminary study. J </w:t>
      </w:r>
      <w:proofErr w:type="spellStart"/>
      <w:r w:rsidRPr="005F7C5E">
        <w:rPr>
          <w:rFonts w:ascii="Garamond" w:hAnsi="Garamond" w:cs="Arial"/>
          <w:lang w:val="en-US"/>
        </w:rPr>
        <w:t>Anthropol</w:t>
      </w:r>
      <w:proofErr w:type="spellEnd"/>
      <w:r w:rsidRPr="005F7C5E">
        <w:rPr>
          <w:rFonts w:ascii="Garamond" w:hAnsi="Garamond" w:cs="Arial"/>
          <w:lang w:val="en-US"/>
        </w:rPr>
        <w:t xml:space="preserve"> Sci. 89:189-194.</w:t>
      </w: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  <w:lang w:val="en-US"/>
        </w:rPr>
      </w:pPr>
      <w:proofErr w:type="spellStart"/>
      <w:r w:rsidRPr="005F7C5E">
        <w:rPr>
          <w:rFonts w:ascii="Garamond" w:hAnsi="Garamond" w:cs="Arial"/>
          <w:lang w:val="en-US"/>
        </w:rPr>
        <w:t>Cilli</w:t>
      </w:r>
      <w:proofErr w:type="spellEnd"/>
      <w:r w:rsidRPr="005F7C5E">
        <w:rPr>
          <w:rFonts w:ascii="Garamond" w:hAnsi="Garamond" w:cs="Arial"/>
          <w:lang w:val="en-US"/>
        </w:rPr>
        <w:t xml:space="preserve"> E, De </w:t>
      </w:r>
      <w:proofErr w:type="spellStart"/>
      <w:r w:rsidRPr="005F7C5E">
        <w:rPr>
          <w:rFonts w:ascii="Garamond" w:hAnsi="Garamond" w:cs="Arial"/>
          <w:lang w:val="en-US"/>
        </w:rPr>
        <w:t>Fanti</w:t>
      </w:r>
      <w:proofErr w:type="spellEnd"/>
      <w:r w:rsidRPr="005F7C5E">
        <w:rPr>
          <w:rFonts w:ascii="Garamond" w:hAnsi="Garamond" w:cs="Arial"/>
          <w:lang w:val="en-US"/>
        </w:rPr>
        <w:t xml:space="preserve"> S, </w:t>
      </w:r>
      <w:proofErr w:type="spellStart"/>
      <w:r w:rsidRPr="005F7C5E">
        <w:rPr>
          <w:rFonts w:ascii="Garamond" w:hAnsi="Garamond" w:cs="Arial"/>
          <w:lang w:val="en-US"/>
        </w:rPr>
        <w:t>Delaini</w:t>
      </w:r>
      <w:proofErr w:type="spellEnd"/>
      <w:r w:rsidRPr="005F7C5E">
        <w:rPr>
          <w:rFonts w:ascii="Garamond" w:hAnsi="Garamond" w:cs="Arial"/>
          <w:lang w:val="en-US"/>
        </w:rPr>
        <w:t xml:space="preserve"> P, </w:t>
      </w:r>
      <w:proofErr w:type="spellStart"/>
      <w:r w:rsidRPr="005F7C5E">
        <w:rPr>
          <w:rFonts w:ascii="Garamond" w:hAnsi="Garamond" w:cs="Arial"/>
          <w:lang w:val="en-US"/>
        </w:rPr>
        <w:t>Panaino</w:t>
      </w:r>
      <w:proofErr w:type="spellEnd"/>
      <w:r w:rsidRPr="005F7C5E">
        <w:rPr>
          <w:rFonts w:ascii="Garamond" w:hAnsi="Garamond" w:cs="Arial"/>
          <w:lang w:val="en-US"/>
        </w:rPr>
        <w:t xml:space="preserve"> A, </w:t>
      </w:r>
      <w:proofErr w:type="spellStart"/>
      <w:r w:rsidRPr="005F7C5E">
        <w:rPr>
          <w:rFonts w:ascii="Garamond" w:hAnsi="Garamond" w:cs="Arial"/>
          <w:lang w:val="en-US"/>
        </w:rPr>
        <w:t>Gruppioni</w:t>
      </w:r>
      <w:proofErr w:type="spellEnd"/>
      <w:r w:rsidRPr="005F7C5E">
        <w:rPr>
          <w:rFonts w:ascii="Garamond" w:hAnsi="Garamond" w:cs="Arial"/>
          <w:lang w:val="en-US"/>
        </w:rPr>
        <w:t xml:space="preserve"> G. 2013. A contribution to the genetic history of </w:t>
      </w:r>
      <w:proofErr w:type="spellStart"/>
      <w:r w:rsidRPr="005F7C5E">
        <w:rPr>
          <w:rFonts w:ascii="Garamond" w:hAnsi="Garamond" w:cs="Arial"/>
          <w:lang w:val="en-US"/>
        </w:rPr>
        <w:t>Yahgnobis</w:t>
      </w:r>
      <w:proofErr w:type="spellEnd"/>
      <w:r w:rsidRPr="005F7C5E">
        <w:rPr>
          <w:rFonts w:ascii="Garamond" w:hAnsi="Garamond" w:cs="Arial"/>
          <w:lang w:val="en-US"/>
        </w:rPr>
        <w:t xml:space="preserve"> of Tajikistan through mitochondrial DNA analysis. In: </w:t>
      </w:r>
      <w:proofErr w:type="spellStart"/>
      <w:r w:rsidRPr="005F7C5E">
        <w:rPr>
          <w:rFonts w:ascii="Garamond" w:hAnsi="Garamond" w:cs="Arial"/>
          <w:lang w:val="en-US"/>
        </w:rPr>
        <w:t>Yaghnobi</w:t>
      </w:r>
      <w:proofErr w:type="spellEnd"/>
      <w:r w:rsidRPr="005F7C5E">
        <w:rPr>
          <w:rFonts w:ascii="Garamond" w:hAnsi="Garamond" w:cs="Arial"/>
          <w:lang w:val="en-US"/>
        </w:rPr>
        <w:t xml:space="preserve"> studies. Mimesis, Milano, pp.123-132.</w:t>
      </w: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</w:rPr>
      </w:pPr>
      <w:r w:rsidRPr="005F7C5E">
        <w:rPr>
          <w:rFonts w:ascii="Garamond" w:hAnsi="Garamond" w:cs="Arial"/>
          <w:lang w:val="en-GB"/>
        </w:rPr>
        <w:t xml:space="preserve">Comas D, Plaza S, Wells RS, </w:t>
      </w:r>
      <w:proofErr w:type="spellStart"/>
      <w:r w:rsidRPr="005F7C5E">
        <w:rPr>
          <w:rFonts w:ascii="Garamond" w:hAnsi="Garamond" w:cs="Arial"/>
          <w:lang w:val="en-GB"/>
        </w:rPr>
        <w:t>Yuldaseva</w:t>
      </w:r>
      <w:proofErr w:type="spellEnd"/>
      <w:r w:rsidRPr="005F7C5E">
        <w:rPr>
          <w:rFonts w:ascii="Garamond" w:hAnsi="Garamond" w:cs="Arial"/>
          <w:lang w:val="en-GB"/>
        </w:rPr>
        <w:t xml:space="preserve"> N, Lao O, </w:t>
      </w:r>
      <w:proofErr w:type="spellStart"/>
      <w:r w:rsidRPr="005F7C5E">
        <w:rPr>
          <w:rFonts w:ascii="Garamond" w:hAnsi="Garamond" w:cs="Arial"/>
          <w:lang w:val="en-GB"/>
        </w:rPr>
        <w:t>Calafell</w:t>
      </w:r>
      <w:proofErr w:type="spellEnd"/>
      <w:r w:rsidRPr="005F7C5E">
        <w:rPr>
          <w:rFonts w:ascii="Garamond" w:hAnsi="Garamond" w:cs="Arial"/>
          <w:lang w:val="en-GB"/>
        </w:rPr>
        <w:t xml:space="preserve"> F, </w:t>
      </w:r>
      <w:proofErr w:type="spellStart"/>
      <w:r w:rsidRPr="005F7C5E">
        <w:rPr>
          <w:rFonts w:ascii="Garamond" w:hAnsi="Garamond" w:cs="Arial"/>
          <w:lang w:val="en-GB"/>
        </w:rPr>
        <w:t>Bertranpetit</w:t>
      </w:r>
      <w:proofErr w:type="spellEnd"/>
      <w:r w:rsidRPr="005F7C5E">
        <w:rPr>
          <w:rFonts w:ascii="Garamond" w:hAnsi="Garamond" w:cs="Arial"/>
          <w:lang w:val="en-GB"/>
        </w:rPr>
        <w:t xml:space="preserve"> J. 2004. Admixture, migrations, and dispersals in Central Asia: evidence from maternal DNA lineages. </w:t>
      </w:r>
      <w:proofErr w:type="spellStart"/>
      <w:r w:rsidRPr="005F7C5E">
        <w:rPr>
          <w:rFonts w:ascii="Garamond" w:hAnsi="Garamond" w:cs="Arial"/>
        </w:rPr>
        <w:t>Eur</w:t>
      </w:r>
      <w:proofErr w:type="spellEnd"/>
      <w:r w:rsidRPr="005F7C5E">
        <w:rPr>
          <w:rFonts w:ascii="Garamond" w:hAnsi="Garamond" w:cs="Arial"/>
        </w:rPr>
        <w:t xml:space="preserve">. J. </w:t>
      </w:r>
      <w:proofErr w:type="spellStart"/>
      <w:r w:rsidRPr="005F7C5E">
        <w:rPr>
          <w:rFonts w:ascii="Garamond" w:hAnsi="Garamond" w:cs="Arial"/>
        </w:rPr>
        <w:t>Hum</w:t>
      </w:r>
      <w:proofErr w:type="spellEnd"/>
      <w:r w:rsidRPr="005F7C5E">
        <w:rPr>
          <w:rFonts w:ascii="Garamond" w:hAnsi="Garamond" w:cs="Arial"/>
        </w:rPr>
        <w:t xml:space="preserve">. </w:t>
      </w:r>
      <w:proofErr w:type="spellStart"/>
      <w:r w:rsidRPr="005F7C5E">
        <w:rPr>
          <w:rFonts w:ascii="Garamond" w:hAnsi="Garamond" w:cs="Arial"/>
        </w:rPr>
        <w:t>Genet</w:t>
      </w:r>
      <w:proofErr w:type="spellEnd"/>
      <w:r w:rsidRPr="005F7C5E">
        <w:rPr>
          <w:rFonts w:ascii="Garamond" w:hAnsi="Garamond" w:cs="Arial"/>
        </w:rPr>
        <w:t>., 12: 495-504.</w:t>
      </w: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</w:rPr>
      </w:pPr>
      <w:proofErr w:type="spellStart"/>
      <w:r w:rsidRPr="005F7C5E">
        <w:rPr>
          <w:rFonts w:ascii="Garamond" w:hAnsi="Garamond" w:cs="Arial"/>
        </w:rPr>
        <w:t>Delaini</w:t>
      </w:r>
      <w:proofErr w:type="spellEnd"/>
      <w:r w:rsidRPr="005F7C5E">
        <w:rPr>
          <w:rFonts w:ascii="Garamond" w:hAnsi="Garamond" w:cs="Arial"/>
        </w:rPr>
        <w:t xml:space="preserve"> P. 2012. Diario </w:t>
      </w:r>
      <w:proofErr w:type="spellStart"/>
      <w:r w:rsidRPr="005F7C5E">
        <w:rPr>
          <w:rFonts w:ascii="Garamond" w:hAnsi="Garamond" w:cs="Arial"/>
        </w:rPr>
        <w:t>etnobotanico</w:t>
      </w:r>
      <w:proofErr w:type="spellEnd"/>
      <w:r w:rsidRPr="005F7C5E">
        <w:rPr>
          <w:rFonts w:ascii="Garamond" w:hAnsi="Garamond" w:cs="Arial"/>
        </w:rPr>
        <w:t>. Raccogliendo piante officinali sulle montagne del Tajikistan. In: A Scuola di Pace III. Università di Bologna e Istituto Italiano per l’Africa e l’Oriente, Milano, pp. 111-118.</w:t>
      </w: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  <w:bCs/>
          <w:lang w:val="en-GB"/>
        </w:rPr>
      </w:pPr>
      <w:r w:rsidRPr="005F7C5E">
        <w:rPr>
          <w:rFonts w:ascii="Garamond" w:hAnsi="Garamond" w:cs="Arial"/>
          <w:bCs/>
          <w:lang w:val="en-GB"/>
        </w:rPr>
        <w:t>Irwin JA</w:t>
      </w:r>
      <w:r w:rsidRPr="005F7C5E">
        <w:rPr>
          <w:rFonts w:ascii="Garamond" w:hAnsi="Garamond" w:cs="Arial"/>
          <w:lang w:val="en-GB"/>
        </w:rPr>
        <w:t xml:space="preserve">, </w:t>
      </w:r>
      <w:proofErr w:type="spellStart"/>
      <w:r w:rsidRPr="005F7C5E">
        <w:rPr>
          <w:rFonts w:ascii="Garamond" w:hAnsi="Garamond" w:cs="Arial"/>
          <w:lang w:val="en-GB"/>
        </w:rPr>
        <w:t>Ikramov</w:t>
      </w:r>
      <w:proofErr w:type="spellEnd"/>
      <w:r w:rsidRPr="005F7C5E">
        <w:rPr>
          <w:rFonts w:ascii="Garamond" w:hAnsi="Garamond" w:cs="Arial"/>
          <w:lang w:val="en-GB"/>
        </w:rPr>
        <w:t xml:space="preserve"> A, </w:t>
      </w:r>
      <w:proofErr w:type="spellStart"/>
      <w:r w:rsidRPr="005F7C5E">
        <w:rPr>
          <w:rFonts w:ascii="Garamond" w:hAnsi="Garamond" w:cs="Arial"/>
          <w:lang w:val="en-GB"/>
        </w:rPr>
        <w:t>Saunier</w:t>
      </w:r>
      <w:proofErr w:type="spellEnd"/>
      <w:r w:rsidRPr="005F7C5E">
        <w:rPr>
          <w:rFonts w:ascii="Garamond" w:hAnsi="Garamond" w:cs="Arial"/>
          <w:lang w:val="en-GB"/>
        </w:rPr>
        <w:t xml:space="preserve"> J, </w:t>
      </w:r>
      <w:proofErr w:type="spellStart"/>
      <w:r w:rsidRPr="005F7C5E">
        <w:rPr>
          <w:rFonts w:ascii="Garamond" w:hAnsi="Garamond" w:cs="Arial"/>
          <w:lang w:val="en-GB"/>
        </w:rPr>
        <w:t>Bodner</w:t>
      </w:r>
      <w:proofErr w:type="spellEnd"/>
      <w:r w:rsidRPr="005F7C5E">
        <w:rPr>
          <w:rFonts w:ascii="Garamond" w:hAnsi="Garamond" w:cs="Arial"/>
          <w:lang w:val="en-GB"/>
        </w:rPr>
        <w:t xml:space="preserve"> M, Amory S, </w:t>
      </w:r>
      <w:proofErr w:type="spellStart"/>
      <w:r w:rsidRPr="005F7C5E">
        <w:rPr>
          <w:rFonts w:ascii="Garamond" w:hAnsi="Garamond" w:cs="Arial"/>
          <w:lang w:val="en-GB"/>
        </w:rPr>
        <w:t>Röck</w:t>
      </w:r>
      <w:proofErr w:type="spellEnd"/>
      <w:r w:rsidRPr="005F7C5E">
        <w:rPr>
          <w:rFonts w:ascii="Garamond" w:hAnsi="Garamond" w:cs="Arial"/>
          <w:lang w:val="en-GB"/>
        </w:rPr>
        <w:t xml:space="preserve"> A, O'Callaghan J, </w:t>
      </w:r>
      <w:proofErr w:type="spellStart"/>
      <w:r w:rsidRPr="005F7C5E">
        <w:rPr>
          <w:rFonts w:ascii="Garamond" w:hAnsi="Garamond" w:cs="Arial"/>
          <w:lang w:val="en-GB"/>
        </w:rPr>
        <w:t>Nuritdinov</w:t>
      </w:r>
      <w:proofErr w:type="spellEnd"/>
      <w:r w:rsidRPr="005F7C5E">
        <w:rPr>
          <w:rFonts w:ascii="Garamond" w:hAnsi="Garamond" w:cs="Arial"/>
          <w:lang w:val="en-GB"/>
        </w:rPr>
        <w:t xml:space="preserve"> A, </w:t>
      </w:r>
      <w:proofErr w:type="spellStart"/>
      <w:r w:rsidRPr="005F7C5E">
        <w:rPr>
          <w:rFonts w:ascii="Garamond" w:hAnsi="Garamond" w:cs="Arial"/>
          <w:lang w:val="en-GB"/>
        </w:rPr>
        <w:t>Atakhodjaev</w:t>
      </w:r>
      <w:proofErr w:type="spellEnd"/>
      <w:r w:rsidRPr="005F7C5E">
        <w:rPr>
          <w:rFonts w:ascii="Garamond" w:hAnsi="Garamond" w:cs="Arial"/>
          <w:lang w:val="en-GB"/>
        </w:rPr>
        <w:t xml:space="preserve"> S, </w:t>
      </w:r>
      <w:proofErr w:type="spellStart"/>
      <w:r w:rsidRPr="005F7C5E">
        <w:rPr>
          <w:rFonts w:ascii="Garamond" w:hAnsi="Garamond" w:cs="Arial"/>
          <w:lang w:val="en-GB"/>
        </w:rPr>
        <w:t>Mukhamedov</w:t>
      </w:r>
      <w:proofErr w:type="spellEnd"/>
      <w:r w:rsidRPr="005F7C5E">
        <w:rPr>
          <w:rFonts w:ascii="Garamond" w:hAnsi="Garamond" w:cs="Arial"/>
          <w:lang w:val="en-GB"/>
        </w:rPr>
        <w:t xml:space="preserve"> R, Parson W, Parsons TJ. 2010. </w:t>
      </w:r>
      <w:r w:rsidRPr="005F7C5E">
        <w:rPr>
          <w:rFonts w:ascii="Garamond" w:hAnsi="Garamond" w:cs="Arial"/>
          <w:bCs/>
          <w:lang w:val="en-GB"/>
        </w:rPr>
        <w:t xml:space="preserve">The </w:t>
      </w:r>
      <w:proofErr w:type="spellStart"/>
      <w:r w:rsidRPr="005F7C5E">
        <w:rPr>
          <w:rFonts w:ascii="Garamond" w:hAnsi="Garamond" w:cs="Arial"/>
          <w:bCs/>
          <w:lang w:val="en-GB"/>
        </w:rPr>
        <w:t>mtDNA</w:t>
      </w:r>
      <w:proofErr w:type="spellEnd"/>
      <w:r w:rsidRPr="005F7C5E">
        <w:rPr>
          <w:rFonts w:ascii="Garamond" w:hAnsi="Garamond" w:cs="Arial"/>
          <w:bCs/>
          <w:lang w:val="en-GB"/>
        </w:rPr>
        <w:t xml:space="preserve"> composition of Uzbekistan: a microcosm of Central Asian patterns. </w:t>
      </w:r>
      <w:r w:rsidRPr="005F7C5E">
        <w:rPr>
          <w:rFonts w:ascii="Garamond" w:hAnsi="Garamond" w:cs="Arial"/>
          <w:lang w:val="en-GB"/>
        </w:rPr>
        <w:t>Int. J. Legal. Med. 2010 May;124(3):195-204.</w:t>
      </w: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  <w:lang w:val="en-US"/>
        </w:rPr>
      </w:pPr>
      <w:proofErr w:type="spellStart"/>
      <w:r w:rsidRPr="005F7C5E">
        <w:rPr>
          <w:rFonts w:ascii="Garamond" w:hAnsi="Garamond" w:cs="Arial"/>
          <w:lang w:val="en-US"/>
        </w:rPr>
        <w:t>Ognibene</w:t>
      </w:r>
      <w:proofErr w:type="spellEnd"/>
      <w:r w:rsidRPr="005F7C5E">
        <w:rPr>
          <w:rFonts w:ascii="Garamond" w:hAnsi="Garamond" w:cs="Arial"/>
          <w:lang w:val="en-US"/>
        </w:rPr>
        <w:t xml:space="preserve"> P. 2013. A black dog from </w:t>
      </w:r>
      <w:proofErr w:type="spellStart"/>
      <w:r w:rsidRPr="005F7C5E">
        <w:rPr>
          <w:rFonts w:ascii="Garamond" w:hAnsi="Garamond" w:cs="Arial"/>
          <w:lang w:val="en-US"/>
        </w:rPr>
        <w:t>Marzic</w:t>
      </w:r>
      <w:proofErr w:type="spellEnd"/>
      <w:r w:rsidRPr="005F7C5E">
        <w:rPr>
          <w:rFonts w:ascii="Garamond" w:hAnsi="Garamond" w:cs="Arial"/>
          <w:lang w:val="en-US"/>
        </w:rPr>
        <w:t xml:space="preserve">: legends and facts about </w:t>
      </w:r>
      <w:proofErr w:type="spellStart"/>
      <w:r w:rsidRPr="005F7C5E">
        <w:rPr>
          <w:rFonts w:ascii="Garamond" w:hAnsi="Garamond" w:cs="Arial"/>
          <w:lang w:val="en-US"/>
        </w:rPr>
        <w:t>Anzob</w:t>
      </w:r>
      <w:proofErr w:type="spellEnd"/>
      <w:r w:rsidRPr="005F7C5E">
        <w:rPr>
          <w:rFonts w:ascii="Garamond" w:hAnsi="Garamond" w:cs="Arial"/>
          <w:lang w:val="en-US"/>
        </w:rPr>
        <w:t xml:space="preserve"> plague. In: </w:t>
      </w:r>
      <w:proofErr w:type="spellStart"/>
      <w:r w:rsidRPr="005F7C5E">
        <w:rPr>
          <w:rFonts w:ascii="Garamond" w:hAnsi="Garamond" w:cs="Arial"/>
          <w:lang w:val="en-US"/>
        </w:rPr>
        <w:t>Yaghnobi</w:t>
      </w:r>
      <w:proofErr w:type="spellEnd"/>
      <w:r w:rsidRPr="005F7C5E">
        <w:rPr>
          <w:rFonts w:ascii="Garamond" w:hAnsi="Garamond" w:cs="Arial"/>
          <w:lang w:val="en-US"/>
        </w:rPr>
        <w:t xml:space="preserve"> studies. Mimesis, Milano, pp.87-97.</w:t>
      </w:r>
    </w:p>
    <w:p w:rsidR="00C30091" w:rsidRPr="005F7C5E" w:rsidRDefault="00C30091" w:rsidP="00ED1805">
      <w:pPr>
        <w:pStyle w:val="PreformattatoHTML"/>
        <w:ind w:left="360" w:hanging="360"/>
        <w:jc w:val="both"/>
        <w:rPr>
          <w:rFonts w:ascii="Garamond" w:hAnsi="Garamond" w:cs="Arial"/>
          <w:sz w:val="22"/>
          <w:szCs w:val="22"/>
          <w:lang w:val="en-US"/>
        </w:rPr>
      </w:pPr>
      <w:proofErr w:type="spellStart"/>
      <w:r w:rsidRPr="005F7C5E">
        <w:rPr>
          <w:rFonts w:ascii="Garamond" w:hAnsi="Garamond" w:cs="Arial"/>
          <w:sz w:val="22"/>
          <w:szCs w:val="22"/>
          <w:lang w:val="en-US"/>
        </w:rPr>
        <w:t>Sistonen</w:t>
      </w:r>
      <w:proofErr w:type="spellEnd"/>
      <w:r w:rsidRPr="005F7C5E">
        <w:rPr>
          <w:rFonts w:ascii="Garamond" w:hAnsi="Garamond" w:cs="Arial"/>
          <w:sz w:val="22"/>
          <w:szCs w:val="22"/>
          <w:lang w:val="en-US"/>
        </w:rPr>
        <w:t xml:space="preserve"> J, </w:t>
      </w:r>
      <w:proofErr w:type="spellStart"/>
      <w:r w:rsidRPr="005F7C5E">
        <w:rPr>
          <w:rFonts w:ascii="Garamond" w:hAnsi="Garamond" w:cs="Arial"/>
          <w:sz w:val="22"/>
          <w:szCs w:val="22"/>
          <w:lang w:val="en-US"/>
        </w:rPr>
        <w:t>Sajantila</w:t>
      </w:r>
      <w:proofErr w:type="spellEnd"/>
      <w:r w:rsidRPr="005F7C5E">
        <w:rPr>
          <w:rFonts w:ascii="Garamond" w:hAnsi="Garamond" w:cs="Arial"/>
          <w:sz w:val="22"/>
          <w:szCs w:val="22"/>
          <w:lang w:val="en-US"/>
        </w:rPr>
        <w:t xml:space="preserve"> A, Lao O, </w:t>
      </w:r>
      <w:proofErr w:type="spellStart"/>
      <w:r w:rsidRPr="005F7C5E">
        <w:rPr>
          <w:rFonts w:ascii="Garamond" w:hAnsi="Garamond" w:cs="Arial"/>
          <w:sz w:val="22"/>
          <w:szCs w:val="22"/>
          <w:lang w:val="en-US"/>
        </w:rPr>
        <w:t>Corander</w:t>
      </w:r>
      <w:proofErr w:type="spellEnd"/>
      <w:r w:rsidRPr="005F7C5E">
        <w:rPr>
          <w:rFonts w:ascii="Garamond" w:hAnsi="Garamond" w:cs="Arial"/>
          <w:sz w:val="22"/>
          <w:szCs w:val="22"/>
          <w:lang w:val="en-US"/>
        </w:rPr>
        <w:t xml:space="preserve"> J, </w:t>
      </w:r>
      <w:proofErr w:type="spellStart"/>
      <w:r w:rsidRPr="005F7C5E">
        <w:rPr>
          <w:rFonts w:ascii="Garamond" w:hAnsi="Garamond" w:cs="Arial"/>
          <w:sz w:val="22"/>
          <w:szCs w:val="22"/>
          <w:lang w:val="en-US"/>
        </w:rPr>
        <w:t>Barbujani</w:t>
      </w:r>
      <w:proofErr w:type="spellEnd"/>
      <w:r w:rsidRPr="005F7C5E">
        <w:rPr>
          <w:rFonts w:ascii="Garamond" w:hAnsi="Garamond" w:cs="Arial"/>
          <w:sz w:val="22"/>
          <w:szCs w:val="22"/>
          <w:lang w:val="en-US"/>
        </w:rPr>
        <w:t xml:space="preserve"> G, </w:t>
      </w:r>
      <w:proofErr w:type="spellStart"/>
      <w:r w:rsidRPr="005F7C5E">
        <w:rPr>
          <w:rFonts w:ascii="Garamond" w:hAnsi="Garamond" w:cs="Arial"/>
          <w:sz w:val="22"/>
          <w:szCs w:val="22"/>
          <w:lang w:val="en-US"/>
        </w:rPr>
        <w:t>Fuselli</w:t>
      </w:r>
      <w:proofErr w:type="spellEnd"/>
      <w:r w:rsidRPr="005F7C5E">
        <w:rPr>
          <w:rFonts w:ascii="Garamond" w:hAnsi="Garamond" w:cs="Arial"/>
          <w:sz w:val="22"/>
          <w:szCs w:val="22"/>
          <w:lang w:val="en-US"/>
        </w:rPr>
        <w:t xml:space="preserve"> S (2007) CYP2D6worldwide genetic variation shows high frequency of altered activity variants and no continental structure. </w:t>
      </w:r>
      <w:proofErr w:type="spellStart"/>
      <w:r w:rsidRPr="005F7C5E">
        <w:rPr>
          <w:rFonts w:ascii="Garamond" w:hAnsi="Garamond" w:cs="Arial"/>
          <w:sz w:val="22"/>
          <w:szCs w:val="22"/>
          <w:lang w:val="en-US"/>
        </w:rPr>
        <w:t>Pharmacogenet</w:t>
      </w:r>
      <w:proofErr w:type="spellEnd"/>
      <w:r w:rsidRPr="005F7C5E">
        <w:rPr>
          <w:rFonts w:ascii="Garamond" w:hAnsi="Garamond" w:cs="Arial"/>
          <w:sz w:val="22"/>
          <w:szCs w:val="22"/>
          <w:lang w:val="en-US"/>
        </w:rPr>
        <w:t xml:space="preserve"> Genomics. 17:93-101.</w:t>
      </w: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  <w:lang w:val="en-US"/>
        </w:rPr>
      </w:pPr>
      <w:proofErr w:type="spellStart"/>
      <w:r w:rsidRPr="005F7C5E">
        <w:rPr>
          <w:rFonts w:ascii="Garamond" w:hAnsi="Garamond" w:cs="Arial"/>
          <w:lang w:val="en-US"/>
        </w:rPr>
        <w:t>Vijayan</w:t>
      </w:r>
      <w:proofErr w:type="spellEnd"/>
      <w:r w:rsidRPr="005F7C5E">
        <w:rPr>
          <w:rFonts w:ascii="Garamond" w:hAnsi="Garamond" w:cs="Arial"/>
          <w:lang w:val="en-US"/>
        </w:rPr>
        <w:t xml:space="preserve"> NN, Mathew A, </w:t>
      </w:r>
      <w:proofErr w:type="spellStart"/>
      <w:r w:rsidRPr="005F7C5E">
        <w:rPr>
          <w:rFonts w:ascii="Garamond" w:hAnsi="Garamond" w:cs="Arial"/>
          <w:lang w:val="en-US"/>
        </w:rPr>
        <w:t>Balan</w:t>
      </w:r>
      <w:proofErr w:type="spellEnd"/>
      <w:r w:rsidRPr="005F7C5E">
        <w:rPr>
          <w:rFonts w:ascii="Garamond" w:hAnsi="Garamond" w:cs="Arial"/>
          <w:lang w:val="en-US"/>
        </w:rPr>
        <w:t xml:space="preserve"> S, et al. Antipsychotic drug dosage and therapeutic response in schizophrenia is influenced by ABCB1 genotypes: a study from a south Indian perspective. Pharmacogenomics 13(10):1119-27, 2012.</w:t>
      </w:r>
    </w:p>
    <w:p w:rsidR="00C30091" w:rsidRPr="005F7C5E" w:rsidRDefault="00C30091" w:rsidP="00ED1805">
      <w:pPr>
        <w:spacing w:after="0" w:line="240" w:lineRule="auto"/>
        <w:ind w:left="360" w:hanging="360"/>
        <w:jc w:val="both"/>
        <w:rPr>
          <w:rFonts w:ascii="Garamond" w:hAnsi="Garamond" w:cs="Arial"/>
          <w:lang w:val="en-US"/>
        </w:rPr>
      </w:pPr>
      <w:r w:rsidRPr="005F7C5E">
        <w:rPr>
          <w:rFonts w:ascii="Garamond" w:hAnsi="Garamond" w:cs="Arial"/>
          <w:lang w:val="en-US"/>
        </w:rPr>
        <w:t xml:space="preserve">Wei HB, Hu J, Shang LH, et al. A meta-analytic review of ERCC1/MDR1 polymorphism and </w:t>
      </w:r>
      <w:proofErr w:type="spellStart"/>
      <w:r w:rsidRPr="005F7C5E">
        <w:rPr>
          <w:rFonts w:ascii="Garamond" w:hAnsi="Garamond" w:cs="Arial"/>
          <w:lang w:val="en-US"/>
        </w:rPr>
        <w:t>chemosensitivity</w:t>
      </w:r>
      <w:proofErr w:type="spellEnd"/>
      <w:r w:rsidRPr="005F7C5E">
        <w:rPr>
          <w:rFonts w:ascii="Garamond" w:hAnsi="Garamond" w:cs="Arial"/>
          <w:lang w:val="en-US"/>
        </w:rPr>
        <w:t xml:space="preserve"> to platinum in patients with advanced non-small cell lung cancer. </w:t>
      </w:r>
      <w:proofErr w:type="spellStart"/>
      <w:r w:rsidRPr="005F7C5E">
        <w:rPr>
          <w:rFonts w:ascii="Garamond" w:hAnsi="Garamond" w:cs="Arial"/>
          <w:lang w:val="en-US"/>
        </w:rPr>
        <w:t>Chim</w:t>
      </w:r>
      <w:proofErr w:type="spellEnd"/>
      <w:r w:rsidRPr="005F7C5E">
        <w:rPr>
          <w:rFonts w:ascii="Garamond" w:hAnsi="Garamond" w:cs="Arial"/>
          <w:lang w:val="en-US"/>
        </w:rPr>
        <w:t xml:space="preserve"> Med J 125(16):2902-7, 2012.</w:t>
      </w:r>
    </w:p>
    <w:sectPr w:rsidR="00C30091" w:rsidRPr="005F7C5E" w:rsidSect="009831C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F16"/>
    <w:multiLevelType w:val="hybridMultilevel"/>
    <w:tmpl w:val="07860A42"/>
    <w:lvl w:ilvl="0" w:tplc="DCBCAE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6F6D4A"/>
    <w:rsid w:val="000274A9"/>
    <w:rsid w:val="000305B6"/>
    <w:rsid w:val="00033B6A"/>
    <w:rsid w:val="00045B50"/>
    <w:rsid w:val="0005534F"/>
    <w:rsid w:val="0009789B"/>
    <w:rsid w:val="000E0CE7"/>
    <w:rsid w:val="000E1B86"/>
    <w:rsid w:val="000E5F87"/>
    <w:rsid w:val="000F46EB"/>
    <w:rsid w:val="00102A01"/>
    <w:rsid w:val="001218D3"/>
    <w:rsid w:val="0013313D"/>
    <w:rsid w:val="00167BDB"/>
    <w:rsid w:val="00174FDA"/>
    <w:rsid w:val="0017697B"/>
    <w:rsid w:val="001A1E59"/>
    <w:rsid w:val="001A4393"/>
    <w:rsid w:val="001C0534"/>
    <w:rsid w:val="001C5943"/>
    <w:rsid w:val="001D6018"/>
    <w:rsid w:val="001E5CFD"/>
    <w:rsid w:val="00200C9E"/>
    <w:rsid w:val="00213BF1"/>
    <w:rsid w:val="002712A1"/>
    <w:rsid w:val="00284F04"/>
    <w:rsid w:val="0029023E"/>
    <w:rsid w:val="002B3AA7"/>
    <w:rsid w:val="002D63B4"/>
    <w:rsid w:val="00303C99"/>
    <w:rsid w:val="0031308A"/>
    <w:rsid w:val="00334D2A"/>
    <w:rsid w:val="00343B60"/>
    <w:rsid w:val="00374373"/>
    <w:rsid w:val="00391F35"/>
    <w:rsid w:val="003A4D62"/>
    <w:rsid w:val="003B7C67"/>
    <w:rsid w:val="003D0CE4"/>
    <w:rsid w:val="00460E32"/>
    <w:rsid w:val="0050278B"/>
    <w:rsid w:val="00503721"/>
    <w:rsid w:val="00545AAE"/>
    <w:rsid w:val="0055154E"/>
    <w:rsid w:val="00582E05"/>
    <w:rsid w:val="00597622"/>
    <w:rsid w:val="005F7C5E"/>
    <w:rsid w:val="006024C3"/>
    <w:rsid w:val="006203D0"/>
    <w:rsid w:val="00663C32"/>
    <w:rsid w:val="00670EDC"/>
    <w:rsid w:val="006E7238"/>
    <w:rsid w:val="006F386B"/>
    <w:rsid w:val="006F6D4A"/>
    <w:rsid w:val="007372F2"/>
    <w:rsid w:val="00747FE7"/>
    <w:rsid w:val="00764093"/>
    <w:rsid w:val="007860D9"/>
    <w:rsid w:val="007A73D1"/>
    <w:rsid w:val="0081113A"/>
    <w:rsid w:val="00824D5B"/>
    <w:rsid w:val="008813DC"/>
    <w:rsid w:val="008D7CAA"/>
    <w:rsid w:val="008E7539"/>
    <w:rsid w:val="009831C9"/>
    <w:rsid w:val="00987175"/>
    <w:rsid w:val="009A2F51"/>
    <w:rsid w:val="009A4EC5"/>
    <w:rsid w:val="00A12140"/>
    <w:rsid w:val="00A4253C"/>
    <w:rsid w:val="00A4511E"/>
    <w:rsid w:val="00A458DB"/>
    <w:rsid w:val="00A57C03"/>
    <w:rsid w:val="00A7550E"/>
    <w:rsid w:val="00A86ED0"/>
    <w:rsid w:val="00A92BE7"/>
    <w:rsid w:val="00AF273E"/>
    <w:rsid w:val="00B77C34"/>
    <w:rsid w:val="00BB262E"/>
    <w:rsid w:val="00C03779"/>
    <w:rsid w:val="00C1021F"/>
    <w:rsid w:val="00C1310C"/>
    <w:rsid w:val="00C30091"/>
    <w:rsid w:val="00C43FF8"/>
    <w:rsid w:val="00C82466"/>
    <w:rsid w:val="00CB7FAD"/>
    <w:rsid w:val="00CE0644"/>
    <w:rsid w:val="00CE74D8"/>
    <w:rsid w:val="00D211AC"/>
    <w:rsid w:val="00D31E36"/>
    <w:rsid w:val="00D368A5"/>
    <w:rsid w:val="00D56366"/>
    <w:rsid w:val="00DA61A5"/>
    <w:rsid w:val="00DC07E2"/>
    <w:rsid w:val="00DC51CC"/>
    <w:rsid w:val="00DD3D50"/>
    <w:rsid w:val="00DE258D"/>
    <w:rsid w:val="00E0493A"/>
    <w:rsid w:val="00E349CE"/>
    <w:rsid w:val="00E409F2"/>
    <w:rsid w:val="00E44F53"/>
    <w:rsid w:val="00ED1805"/>
    <w:rsid w:val="00F169DE"/>
    <w:rsid w:val="00F46F18"/>
    <w:rsid w:val="00F7627A"/>
    <w:rsid w:val="00FD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D4A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5CFD"/>
    <w:pPr>
      <w:keepNext/>
      <w:spacing w:after="0" w:line="360" w:lineRule="auto"/>
      <w:jc w:val="both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E5CFD"/>
    <w:rPr>
      <w:rFonts w:ascii="Times New Roman" w:hAnsi="Times New Roman" w:cs="Times New Roman"/>
      <w:i/>
      <w:iCs/>
    </w:rPr>
  </w:style>
  <w:style w:type="paragraph" w:styleId="Corpodeltesto3">
    <w:name w:val="Body Text 3"/>
    <w:basedOn w:val="Normale"/>
    <w:link w:val="Corpodeltesto3Carattere"/>
    <w:uiPriority w:val="99"/>
    <w:rsid w:val="001E5CFD"/>
    <w:pPr>
      <w:tabs>
        <w:tab w:val="left" w:pos="284"/>
      </w:tabs>
      <w:suppressAutoHyphens/>
      <w:spacing w:after="0" w:line="360" w:lineRule="auto"/>
      <w:ind w:right="1391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E5CFD"/>
    <w:rPr>
      <w:rFonts w:ascii="Times New Roman" w:hAnsi="Times New Roman" w:cs="Times New Roman"/>
      <w:lang w:eastAsia="ar-SA" w:bidi="ar-SA"/>
    </w:rPr>
  </w:style>
  <w:style w:type="paragraph" w:styleId="NormaleWeb">
    <w:name w:val="Normal (Web)"/>
    <w:basedOn w:val="Normale"/>
    <w:uiPriority w:val="99"/>
    <w:rsid w:val="001E5CFD"/>
    <w:pPr>
      <w:spacing w:beforeLines="1" w:afterLines="1" w:line="240" w:lineRule="auto"/>
    </w:pPr>
    <w:rPr>
      <w:rFonts w:ascii="Times" w:hAnsi="Times"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1E5CFD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rsid w:val="00CB7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CB7FAD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97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BFA6-C253-40EE-A69C-848F8420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Ricerche di storia, genetica e genomica</vt:lpstr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Ricerche di storia, genetica e genomica</dc:title>
  <dc:subject/>
  <dc:creator>Elisabetta Cilli</dc:creator>
  <cp:keywords/>
  <dc:description/>
  <cp:lastModifiedBy>Paola Frontera</cp:lastModifiedBy>
  <cp:revision>9</cp:revision>
  <dcterms:created xsi:type="dcterms:W3CDTF">2014-01-27T11:00:00Z</dcterms:created>
  <dcterms:modified xsi:type="dcterms:W3CDTF">2014-01-29T11:22:00Z</dcterms:modified>
</cp:coreProperties>
</file>